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1F747" w14:textId="77777777" w:rsidR="0030447F" w:rsidRDefault="00212BEB" w:rsidP="00307AB7">
      <w:pPr>
        <w:rPr>
          <w:b/>
          <w:sz w:val="36"/>
          <w:szCs w:val="36"/>
        </w:rPr>
      </w:pPr>
      <w:bookmarkStart w:id="0" w:name="_GoBack"/>
      <w:bookmarkEnd w:id="0"/>
      <w:r w:rsidRPr="00674200">
        <w:rPr>
          <w:b/>
          <w:sz w:val="36"/>
          <w:szCs w:val="36"/>
        </w:rPr>
        <w:t>Morton Village Hall</w:t>
      </w:r>
      <w:r w:rsidR="0030447F">
        <w:rPr>
          <w:b/>
          <w:sz w:val="36"/>
          <w:szCs w:val="36"/>
        </w:rPr>
        <w:t xml:space="preserve"> </w:t>
      </w:r>
    </w:p>
    <w:p w14:paraId="0998248E" w14:textId="77777777" w:rsidR="00674200" w:rsidRPr="00674200" w:rsidRDefault="00674200" w:rsidP="00307AB7">
      <w:pPr>
        <w:rPr>
          <w:b/>
          <w:sz w:val="36"/>
          <w:szCs w:val="36"/>
        </w:rPr>
      </w:pPr>
      <w:r>
        <w:rPr>
          <w:bCs/>
          <w:noProof/>
        </w:rPr>
        <w:drawing>
          <wp:inline distT="0" distB="0" distL="0" distR="0" wp14:anchorId="1B84E579" wp14:editId="54640AA1">
            <wp:extent cx="3476625" cy="2314575"/>
            <wp:effectExtent l="0" t="0" r="9525" b="9525"/>
            <wp:docPr id="1" name="Picture 1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F132F" w14:textId="77777777" w:rsidR="00212BEB" w:rsidRPr="008109F9" w:rsidRDefault="0030447F" w:rsidP="00307AB7">
      <w:pPr>
        <w:rPr>
          <w:sz w:val="24"/>
          <w:szCs w:val="24"/>
        </w:rPr>
      </w:pPr>
      <w:r>
        <w:rPr>
          <w:sz w:val="24"/>
          <w:szCs w:val="24"/>
        </w:rPr>
        <w:t xml:space="preserve">Considered </w:t>
      </w:r>
      <w:r w:rsidR="00212BEB" w:rsidRPr="008109F9">
        <w:rPr>
          <w:sz w:val="24"/>
          <w:szCs w:val="24"/>
        </w:rPr>
        <w:t>Report to the Parish Council.</w:t>
      </w:r>
    </w:p>
    <w:p w14:paraId="394FC35F" w14:textId="77777777" w:rsidR="00212BEB" w:rsidRPr="004C529A" w:rsidRDefault="00212BEB" w:rsidP="009908C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C529A">
        <w:rPr>
          <w:b/>
          <w:sz w:val="32"/>
          <w:szCs w:val="32"/>
        </w:rPr>
        <w:t>Introduction</w:t>
      </w:r>
    </w:p>
    <w:p w14:paraId="4406F06C" w14:textId="77777777" w:rsidR="00212BEB" w:rsidRPr="008109F9" w:rsidRDefault="00212BEB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t xml:space="preserve">This report is a review regarding the Village Hall in Morton and has been compiled to provide a considered view of the situation which </w:t>
      </w:r>
      <w:r w:rsidR="00C576CC" w:rsidRPr="008109F9">
        <w:rPr>
          <w:sz w:val="24"/>
          <w:szCs w:val="24"/>
        </w:rPr>
        <w:t xml:space="preserve">will </w:t>
      </w:r>
      <w:r w:rsidRPr="008109F9">
        <w:rPr>
          <w:sz w:val="24"/>
          <w:szCs w:val="24"/>
        </w:rPr>
        <w:t xml:space="preserve">enable the Parish Councillors to decide the next stage of the </w:t>
      </w:r>
      <w:r w:rsidR="00C576CC" w:rsidRPr="008109F9">
        <w:rPr>
          <w:sz w:val="24"/>
          <w:szCs w:val="24"/>
        </w:rPr>
        <w:t>project.</w:t>
      </w:r>
    </w:p>
    <w:p w14:paraId="59424210" w14:textId="77777777" w:rsidR="00212BEB" w:rsidRPr="004C529A" w:rsidRDefault="00212BEB" w:rsidP="009908C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C529A">
        <w:rPr>
          <w:b/>
          <w:sz w:val="32"/>
          <w:szCs w:val="32"/>
        </w:rPr>
        <w:t>History</w:t>
      </w:r>
    </w:p>
    <w:p w14:paraId="5DED500E" w14:textId="77777777" w:rsidR="009908C3" w:rsidRPr="008109F9" w:rsidRDefault="009908C3" w:rsidP="009908C3">
      <w:pPr>
        <w:spacing w:after="0" w:line="240" w:lineRule="auto"/>
        <w:rPr>
          <w:sz w:val="24"/>
          <w:szCs w:val="24"/>
        </w:rPr>
      </w:pPr>
      <w:r w:rsidRPr="008109F9">
        <w:rPr>
          <w:sz w:val="24"/>
          <w:szCs w:val="24"/>
        </w:rPr>
        <w:t xml:space="preserve">The </w:t>
      </w:r>
      <w:r w:rsidR="004C529A">
        <w:rPr>
          <w:sz w:val="24"/>
          <w:szCs w:val="24"/>
        </w:rPr>
        <w:t>Village Hall</w:t>
      </w:r>
      <w:r w:rsidRPr="008109F9">
        <w:rPr>
          <w:sz w:val="24"/>
          <w:szCs w:val="24"/>
        </w:rPr>
        <w:t xml:space="preserve"> was constructed in 1680 as the village malt house and in 1735 the building</w:t>
      </w:r>
    </w:p>
    <w:p w14:paraId="742506AB" w14:textId="77777777" w:rsidR="009908C3" w:rsidRPr="008109F9" w:rsidRDefault="004C529A" w:rsidP="009908C3">
      <w:pPr>
        <w:spacing w:after="0" w:line="240" w:lineRule="auto"/>
        <w:rPr>
          <w:sz w:val="24"/>
          <w:szCs w:val="24"/>
        </w:rPr>
      </w:pPr>
      <w:r w:rsidRPr="008109F9">
        <w:rPr>
          <w:sz w:val="24"/>
          <w:szCs w:val="24"/>
        </w:rPr>
        <w:t>And</w:t>
      </w:r>
      <w:r w:rsidR="009908C3" w:rsidRPr="008109F9">
        <w:rPr>
          <w:sz w:val="24"/>
          <w:szCs w:val="24"/>
        </w:rPr>
        <w:t xml:space="preserve"> the adjoining house (Morton House) was sold to the Oldham </w:t>
      </w:r>
      <w:r w:rsidRPr="008109F9">
        <w:rPr>
          <w:sz w:val="24"/>
          <w:szCs w:val="24"/>
        </w:rPr>
        <w:t>Family.</w:t>
      </w:r>
    </w:p>
    <w:p w14:paraId="4B7DC94E" w14:textId="77777777" w:rsidR="009908C3" w:rsidRPr="008109F9" w:rsidRDefault="009908C3" w:rsidP="009908C3">
      <w:pPr>
        <w:spacing w:after="0" w:line="240" w:lineRule="auto"/>
        <w:rPr>
          <w:sz w:val="24"/>
          <w:szCs w:val="24"/>
        </w:rPr>
      </w:pPr>
      <w:r w:rsidRPr="008109F9">
        <w:rPr>
          <w:sz w:val="24"/>
          <w:szCs w:val="24"/>
        </w:rPr>
        <w:t>In 1834 the malt house was closed due to the advent of breweries emerging</w:t>
      </w:r>
      <w:r w:rsidR="00C576CC" w:rsidRPr="008109F9">
        <w:rPr>
          <w:sz w:val="24"/>
          <w:szCs w:val="24"/>
        </w:rPr>
        <w:t xml:space="preserve"> in the area and the opening of several public houses.</w:t>
      </w:r>
    </w:p>
    <w:p w14:paraId="33A0807D" w14:textId="77777777" w:rsidR="009908C3" w:rsidRPr="008109F9" w:rsidRDefault="009908C3" w:rsidP="009908C3">
      <w:pPr>
        <w:spacing w:after="0" w:line="240" w:lineRule="auto"/>
        <w:rPr>
          <w:sz w:val="24"/>
          <w:szCs w:val="24"/>
        </w:rPr>
      </w:pPr>
      <w:r w:rsidRPr="008109F9">
        <w:rPr>
          <w:sz w:val="24"/>
          <w:szCs w:val="24"/>
        </w:rPr>
        <w:t>In 1923 the hall was purchased by General and Mrs GM Jackson and</w:t>
      </w:r>
      <w:r w:rsidR="00C576CC" w:rsidRPr="008109F9">
        <w:rPr>
          <w:sz w:val="24"/>
          <w:szCs w:val="24"/>
        </w:rPr>
        <w:t xml:space="preserve"> </w:t>
      </w:r>
      <w:r w:rsidRPr="008109F9">
        <w:rPr>
          <w:sz w:val="24"/>
          <w:szCs w:val="24"/>
        </w:rPr>
        <w:t xml:space="preserve">then sold to the </w:t>
      </w:r>
      <w:r w:rsidR="00C576CC" w:rsidRPr="008109F9">
        <w:rPr>
          <w:sz w:val="24"/>
          <w:szCs w:val="24"/>
        </w:rPr>
        <w:t xml:space="preserve">Morton </w:t>
      </w:r>
      <w:r w:rsidRPr="008109F9">
        <w:rPr>
          <w:sz w:val="24"/>
          <w:szCs w:val="24"/>
        </w:rPr>
        <w:t>Miners Welfare</w:t>
      </w:r>
      <w:r w:rsidR="00C576CC" w:rsidRPr="008109F9">
        <w:rPr>
          <w:sz w:val="24"/>
          <w:szCs w:val="24"/>
        </w:rPr>
        <w:t xml:space="preserve"> </w:t>
      </w:r>
      <w:r w:rsidRPr="008109F9">
        <w:rPr>
          <w:sz w:val="24"/>
          <w:szCs w:val="24"/>
        </w:rPr>
        <w:t>with Morton House being adapted for the Miners Welfare Club</w:t>
      </w:r>
    </w:p>
    <w:p w14:paraId="2F6E1C5E" w14:textId="77777777" w:rsidR="009908C3" w:rsidRPr="008109F9" w:rsidRDefault="009908C3" w:rsidP="009908C3">
      <w:pPr>
        <w:spacing w:after="0" w:line="240" w:lineRule="auto"/>
        <w:rPr>
          <w:sz w:val="24"/>
          <w:szCs w:val="24"/>
        </w:rPr>
      </w:pPr>
      <w:r w:rsidRPr="008109F9">
        <w:rPr>
          <w:sz w:val="24"/>
          <w:szCs w:val="24"/>
        </w:rPr>
        <w:t xml:space="preserve">In 1975 the hall was purchased by Morton Parish </w:t>
      </w:r>
      <w:r w:rsidR="004C529A">
        <w:rPr>
          <w:sz w:val="24"/>
          <w:szCs w:val="24"/>
        </w:rPr>
        <w:t xml:space="preserve">Council </w:t>
      </w:r>
      <w:r w:rsidR="00C576CC" w:rsidRPr="008109F9">
        <w:rPr>
          <w:sz w:val="24"/>
          <w:szCs w:val="24"/>
        </w:rPr>
        <w:t xml:space="preserve">and converted into the Village </w:t>
      </w:r>
      <w:r w:rsidRPr="008109F9">
        <w:rPr>
          <w:sz w:val="24"/>
          <w:szCs w:val="24"/>
        </w:rPr>
        <w:t>Hall</w:t>
      </w:r>
      <w:r w:rsidR="00C576CC" w:rsidRPr="008109F9">
        <w:rPr>
          <w:sz w:val="24"/>
          <w:szCs w:val="24"/>
        </w:rPr>
        <w:t>. The hall is manged by the Village Hall Management Committee on behalf of the Community on a 25</w:t>
      </w:r>
      <w:r w:rsidR="004C529A">
        <w:rPr>
          <w:sz w:val="24"/>
          <w:szCs w:val="24"/>
        </w:rPr>
        <w:t xml:space="preserve"> </w:t>
      </w:r>
      <w:r w:rsidR="00C576CC" w:rsidRPr="008109F9">
        <w:rPr>
          <w:sz w:val="24"/>
          <w:szCs w:val="24"/>
        </w:rPr>
        <w:t>years lease</w:t>
      </w:r>
      <w:r w:rsidRPr="008109F9">
        <w:rPr>
          <w:sz w:val="24"/>
          <w:szCs w:val="24"/>
        </w:rPr>
        <w:t>.</w:t>
      </w:r>
      <w:r w:rsidR="00C576CC" w:rsidRPr="008109F9">
        <w:rPr>
          <w:sz w:val="24"/>
          <w:szCs w:val="24"/>
        </w:rPr>
        <w:t xml:space="preserve"> This is a registered Charity and operates on a none profit basis</w:t>
      </w:r>
    </w:p>
    <w:p w14:paraId="2E431DA3" w14:textId="77777777" w:rsidR="000B42BD" w:rsidRDefault="000B42BD" w:rsidP="000B42BD">
      <w:pPr>
        <w:pStyle w:val="ListParagraph"/>
        <w:ind w:left="360"/>
        <w:rPr>
          <w:b/>
          <w:sz w:val="32"/>
          <w:szCs w:val="32"/>
        </w:rPr>
      </w:pPr>
    </w:p>
    <w:p w14:paraId="5FD4C7BC" w14:textId="77777777" w:rsidR="00212BEB" w:rsidRPr="004C529A" w:rsidRDefault="00212BEB" w:rsidP="009908C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C529A">
        <w:rPr>
          <w:b/>
          <w:sz w:val="32"/>
          <w:szCs w:val="32"/>
        </w:rPr>
        <w:t>The story so far</w:t>
      </w:r>
    </w:p>
    <w:p w14:paraId="00FF691E" w14:textId="77777777" w:rsidR="00C576CC" w:rsidRPr="008109F9" w:rsidRDefault="00C576CC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t>Since 2002 the need to improve the village hall was recognised but until 201</w:t>
      </w:r>
      <w:r w:rsidR="004C529A">
        <w:rPr>
          <w:sz w:val="24"/>
          <w:szCs w:val="24"/>
        </w:rPr>
        <w:t>5</w:t>
      </w:r>
      <w:r w:rsidRPr="008109F9">
        <w:rPr>
          <w:sz w:val="24"/>
          <w:szCs w:val="24"/>
        </w:rPr>
        <w:t xml:space="preserve"> little progress had been made and the general state of the building has </w:t>
      </w:r>
      <w:r w:rsidR="004C529A">
        <w:rPr>
          <w:sz w:val="24"/>
          <w:szCs w:val="24"/>
        </w:rPr>
        <w:t>been in decline</w:t>
      </w:r>
      <w:r w:rsidRPr="008109F9">
        <w:rPr>
          <w:sz w:val="24"/>
          <w:szCs w:val="24"/>
        </w:rPr>
        <w:t xml:space="preserve"> to the point it is no longer fit for purpose. Several options have been considered for the building including rebuild and </w:t>
      </w:r>
      <w:r w:rsidR="004C529A" w:rsidRPr="008109F9">
        <w:rPr>
          <w:sz w:val="24"/>
          <w:szCs w:val="24"/>
        </w:rPr>
        <w:t>reciting</w:t>
      </w:r>
      <w:r w:rsidRPr="008109F9">
        <w:rPr>
          <w:sz w:val="24"/>
          <w:szCs w:val="24"/>
        </w:rPr>
        <w:t>.</w:t>
      </w:r>
    </w:p>
    <w:p w14:paraId="61705400" w14:textId="77777777" w:rsidR="00C576CC" w:rsidRPr="008109F9" w:rsidRDefault="00C576CC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t xml:space="preserve"> A village survey completed in 2016 resulted in a clear desire to keep the current building and make the recommended improvements which included a new kitchen and disabled access.</w:t>
      </w:r>
    </w:p>
    <w:p w14:paraId="2D53755E" w14:textId="77777777" w:rsidR="00C576CC" w:rsidRPr="008109F9" w:rsidRDefault="00C576CC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lastRenderedPageBreak/>
        <w:t xml:space="preserve">A strip of land was gifted to the Parish Council </w:t>
      </w:r>
      <w:r w:rsidR="00674200">
        <w:rPr>
          <w:sz w:val="24"/>
          <w:szCs w:val="24"/>
        </w:rPr>
        <w:t xml:space="preserve">in 2016 </w:t>
      </w:r>
      <w:r w:rsidRPr="008109F9">
        <w:rPr>
          <w:sz w:val="24"/>
          <w:szCs w:val="24"/>
        </w:rPr>
        <w:t>from the owner of The Morton Manor which will enable the hall to be widened and an access ramp installed.</w:t>
      </w:r>
    </w:p>
    <w:p w14:paraId="75CA75A1" w14:textId="77777777" w:rsidR="00C576CC" w:rsidRPr="008109F9" w:rsidRDefault="00905999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t xml:space="preserve">Planning approval </w:t>
      </w:r>
      <w:r w:rsidR="004C529A">
        <w:rPr>
          <w:sz w:val="24"/>
          <w:szCs w:val="24"/>
        </w:rPr>
        <w:t xml:space="preserve">for the proposed changes was </w:t>
      </w:r>
      <w:r w:rsidRPr="008109F9">
        <w:rPr>
          <w:sz w:val="24"/>
          <w:szCs w:val="24"/>
        </w:rPr>
        <w:t>obtained in November 2017 and building regulations approval given in May 2018.</w:t>
      </w:r>
    </w:p>
    <w:p w14:paraId="730FA390" w14:textId="77777777" w:rsidR="00905999" w:rsidRPr="008109F9" w:rsidRDefault="00905999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t>The next stage is to obtain the funding to enable the project to go ahead</w:t>
      </w:r>
      <w:r w:rsidR="00F41D86" w:rsidRPr="008109F9">
        <w:rPr>
          <w:sz w:val="24"/>
          <w:szCs w:val="24"/>
        </w:rPr>
        <w:t>.</w:t>
      </w:r>
    </w:p>
    <w:p w14:paraId="3A02B1BD" w14:textId="77777777" w:rsidR="00674200" w:rsidRDefault="00F41D86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t>The annual precept was increased for 2018/2019</w:t>
      </w:r>
      <w:r w:rsidR="0016128C">
        <w:rPr>
          <w:sz w:val="24"/>
          <w:szCs w:val="24"/>
        </w:rPr>
        <w:t xml:space="preserve"> at the Parish Council meeting in February 2018</w:t>
      </w:r>
      <w:r w:rsidR="00674200">
        <w:rPr>
          <w:sz w:val="24"/>
          <w:szCs w:val="24"/>
        </w:rPr>
        <w:t xml:space="preserve"> and the budget agreed for the following year</w:t>
      </w:r>
      <w:r w:rsidR="00470184" w:rsidRPr="008109F9">
        <w:rPr>
          <w:sz w:val="24"/>
          <w:szCs w:val="24"/>
        </w:rPr>
        <w:t>.</w:t>
      </w:r>
    </w:p>
    <w:p w14:paraId="14698531" w14:textId="77777777" w:rsidR="00F41D86" w:rsidRPr="008109F9" w:rsidRDefault="00470184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t xml:space="preserve"> </w:t>
      </w:r>
    </w:p>
    <w:p w14:paraId="2F276100" w14:textId="77777777" w:rsidR="00905999" w:rsidRPr="004C529A" w:rsidRDefault="00212BEB" w:rsidP="0090599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C529A">
        <w:rPr>
          <w:b/>
          <w:sz w:val="32"/>
          <w:szCs w:val="32"/>
        </w:rPr>
        <w:t>Options for consideration</w:t>
      </w:r>
    </w:p>
    <w:p w14:paraId="14C0F952" w14:textId="77777777" w:rsidR="00194B75" w:rsidRPr="006613D1" w:rsidRDefault="00194B75" w:rsidP="00194B75">
      <w:pPr>
        <w:spacing w:after="150"/>
        <w:outlineLvl w:val="1"/>
        <w:rPr>
          <w:rFonts w:cs="Arial"/>
          <w:b/>
          <w:color w:val="0070C0"/>
          <w:sz w:val="24"/>
          <w:szCs w:val="24"/>
          <w:lang w:val="en"/>
        </w:rPr>
      </w:pPr>
      <w:r w:rsidRPr="006613D1">
        <w:rPr>
          <w:rFonts w:cs="Arial"/>
          <w:b/>
          <w:color w:val="0070C0"/>
          <w:sz w:val="24"/>
          <w:szCs w:val="24"/>
          <w:lang w:val="en"/>
        </w:rPr>
        <w:t>Outcomes for the project</w:t>
      </w:r>
    </w:p>
    <w:p w14:paraId="4A297ABB" w14:textId="77777777" w:rsidR="00194B75" w:rsidRPr="006613D1" w:rsidRDefault="00194B75" w:rsidP="00194B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b/>
          <w:color w:val="555555"/>
          <w:sz w:val="24"/>
          <w:szCs w:val="24"/>
          <w:lang w:val="en"/>
        </w:rPr>
      </w:pPr>
      <w:r w:rsidRPr="006613D1">
        <w:rPr>
          <w:rFonts w:cs="Arial"/>
          <w:b/>
          <w:color w:val="555555"/>
          <w:sz w:val="24"/>
          <w:szCs w:val="24"/>
          <w:lang w:val="en"/>
        </w:rPr>
        <w:t>Improved access to a range of existing and new community services, activities and events by local residents, leading to clear improvements in wellbeing </w:t>
      </w:r>
    </w:p>
    <w:p w14:paraId="34563DC3" w14:textId="77777777" w:rsidR="00194B75" w:rsidRPr="006613D1" w:rsidRDefault="00194B75" w:rsidP="00194B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b/>
          <w:color w:val="555555"/>
          <w:sz w:val="24"/>
          <w:szCs w:val="24"/>
          <w:lang w:val="en"/>
        </w:rPr>
      </w:pPr>
      <w:r w:rsidRPr="006613D1">
        <w:rPr>
          <w:rFonts w:cs="Arial"/>
          <w:b/>
          <w:color w:val="555555"/>
          <w:sz w:val="24"/>
          <w:szCs w:val="24"/>
          <w:lang w:val="en"/>
        </w:rPr>
        <w:t>Residents will report an increased sense of community through having greater involvement in meetings, activities and local projects </w:t>
      </w:r>
    </w:p>
    <w:p w14:paraId="6B8C35E8" w14:textId="77777777" w:rsidR="00194B75" w:rsidRPr="006613D1" w:rsidRDefault="00194B75" w:rsidP="00194B75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6613D1">
        <w:rPr>
          <w:rFonts w:asciiTheme="minorHAnsi" w:hAnsiTheme="minorHAnsi"/>
          <w:b/>
          <w:color w:val="555555"/>
          <w:lang w:val="en"/>
        </w:rPr>
        <w:t>Older and more vulnerable residents feel less isolated through engagement in new community activities.</w:t>
      </w:r>
    </w:p>
    <w:p w14:paraId="7CFCFDD6" w14:textId="77777777" w:rsidR="00194B75" w:rsidRPr="006613D1" w:rsidRDefault="00194B75" w:rsidP="00905999">
      <w:pPr>
        <w:pStyle w:val="Default"/>
        <w:rPr>
          <w:rFonts w:asciiTheme="minorHAnsi" w:hAnsiTheme="minorHAnsi"/>
        </w:rPr>
      </w:pPr>
    </w:p>
    <w:p w14:paraId="10A304FD" w14:textId="77777777" w:rsidR="00905999" w:rsidRPr="006613D1" w:rsidRDefault="00905999" w:rsidP="00905999">
      <w:pPr>
        <w:pStyle w:val="Default"/>
        <w:rPr>
          <w:rFonts w:asciiTheme="minorHAnsi" w:hAnsiTheme="minorHAnsi"/>
        </w:rPr>
      </w:pPr>
      <w:r w:rsidRPr="006613D1">
        <w:rPr>
          <w:rFonts w:asciiTheme="minorHAnsi" w:hAnsiTheme="minorHAnsi"/>
        </w:rPr>
        <w:t>An options appraisal report was completed in 2015 when a number of options for the hall were considered these included:</w:t>
      </w:r>
    </w:p>
    <w:p w14:paraId="59031654" w14:textId="77777777" w:rsidR="00905999" w:rsidRPr="006613D1" w:rsidRDefault="00905999" w:rsidP="00905999">
      <w:pPr>
        <w:pStyle w:val="Default"/>
        <w:rPr>
          <w:rFonts w:asciiTheme="minorHAnsi" w:hAnsiTheme="minorHAnsi"/>
        </w:rPr>
      </w:pPr>
      <w:r w:rsidRPr="006613D1">
        <w:rPr>
          <w:rFonts w:asciiTheme="minorHAnsi" w:hAnsiTheme="minorHAnsi"/>
        </w:rPr>
        <w:t xml:space="preserve"> </w:t>
      </w:r>
      <w:r w:rsidRPr="006613D1">
        <w:rPr>
          <w:rFonts w:asciiTheme="minorHAnsi" w:hAnsiTheme="minorHAnsi"/>
          <w:bCs/>
        </w:rPr>
        <w:t xml:space="preserve">                  Option 1: </w:t>
      </w:r>
      <w:r w:rsidRPr="006613D1">
        <w:rPr>
          <w:rFonts w:asciiTheme="minorHAnsi" w:hAnsiTheme="minorHAnsi"/>
        </w:rPr>
        <w:t xml:space="preserve">Do Nothing </w:t>
      </w:r>
    </w:p>
    <w:p w14:paraId="667C8C19" w14:textId="77777777" w:rsidR="00905999" w:rsidRPr="006613D1" w:rsidRDefault="00905999" w:rsidP="00905999">
      <w:pPr>
        <w:pStyle w:val="Default"/>
        <w:rPr>
          <w:rFonts w:asciiTheme="minorHAnsi" w:hAnsiTheme="minorHAnsi"/>
        </w:rPr>
      </w:pPr>
      <w:r w:rsidRPr="006613D1">
        <w:rPr>
          <w:rFonts w:asciiTheme="minorHAnsi" w:hAnsiTheme="minorHAnsi"/>
          <w:bCs/>
        </w:rPr>
        <w:t xml:space="preserve">                   Option 2: </w:t>
      </w:r>
      <w:r w:rsidRPr="006613D1">
        <w:rPr>
          <w:rFonts w:asciiTheme="minorHAnsi" w:hAnsiTheme="minorHAnsi"/>
        </w:rPr>
        <w:t xml:space="preserve">Refurbishment of the existing facilities </w:t>
      </w:r>
    </w:p>
    <w:p w14:paraId="53179763" w14:textId="77777777" w:rsidR="00905999" w:rsidRPr="006613D1" w:rsidRDefault="00905999" w:rsidP="00905999">
      <w:pPr>
        <w:pStyle w:val="Default"/>
        <w:rPr>
          <w:rFonts w:asciiTheme="minorHAnsi" w:hAnsiTheme="minorHAnsi"/>
        </w:rPr>
      </w:pPr>
      <w:r w:rsidRPr="006613D1">
        <w:rPr>
          <w:rFonts w:asciiTheme="minorHAnsi" w:hAnsiTheme="minorHAnsi"/>
          <w:bCs/>
        </w:rPr>
        <w:t xml:space="preserve">                   Option 3: </w:t>
      </w:r>
      <w:r w:rsidRPr="006613D1">
        <w:rPr>
          <w:rFonts w:asciiTheme="minorHAnsi" w:hAnsiTheme="minorHAnsi"/>
        </w:rPr>
        <w:t xml:space="preserve">Refurbishment and enhancement of existing facilities </w:t>
      </w:r>
    </w:p>
    <w:p w14:paraId="4B1797EA" w14:textId="77777777" w:rsidR="00905999" w:rsidRPr="006613D1" w:rsidRDefault="00905999" w:rsidP="00905999">
      <w:pPr>
        <w:pStyle w:val="Default"/>
        <w:rPr>
          <w:rFonts w:asciiTheme="minorHAnsi" w:hAnsiTheme="minorHAnsi"/>
        </w:rPr>
      </w:pPr>
      <w:r w:rsidRPr="006613D1">
        <w:rPr>
          <w:rFonts w:asciiTheme="minorHAnsi" w:hAnsiTheme="minorHAnsi"/>
          <w:bCs/>
        </w:rPr>
        <w:t xml:space="preserve">                   Option 4: New Build</w:t>
      </w:r>
      <w:r w:rsidRPr="006613D1">
        <w:rPr>
          <w:rFonts w:asciiTheme="minorHAnsi" w:hAnsiTheme="minorHAnsi"/>
        </w:rPr>
        <w:t xml:space="preserve"> New Site</w:t>
      </w:r>
    </w:p>
    <w:p w14:paraId="632BDBE0" w14:textId="77777777" w:rsidR="00905999" w:rsidRPr="006613D1" w:rsidRDefault="00905999" w:rsidP="00905999">
      <w:pPr>
        <w:pStyle w:val="Default"/>
        <w:rPr>
          <w:rFonts w:asciiTheme="minorHAnsi" w:hAnsiTheme="minorHAnsi"/>
        </w:rPr>
      </w:pPr>
      <w:r w:rsidRPr="006613D1">
        <w:rPr>
          <w:rFonts w:asciiTheme="minorHAnsi" w:hAnsiTheme="minorHAnsi"/>
        </w:rPr>
        <w:t xml:space="preserve">                   Option 5: New Build existing Site</w:t>
      </w:r>
    </w:p>
    <w:p w14:paraId="249F017C" w14:textId="77777777" w:rsidR="00194B75" w:rsidRPr="006613D1" w:rsidRDefault="00194B75" w:rsidP="00905999">
      <w:pPr>
        <w:pStyle w:val="Default"/>
        <w:rPr>
          <w:rFonts w:asciiTheme="minorHAnsi" w:hAnsiTheme="minorHAnsi"/>
        </w:rPr>
      </w:pPr>
    </w:p>
    <w:tbl>
      <w:tblPr>
        <w:tblW w:w="191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7"/>
        <w:gridCol w:w="1221"/>
        <w:gridCol w:w="423"/>
        <w:gridCol w:w="994"/>
        <w:gridCol w:w="707"/>
        <w:gridCol w:w="994"/>
        <w:gridCol w:w="1134"/>
        <w:gridCol w:w="1134"/>
        <w:gridCol w:w="4579"/>
        <w:gridCol w:w="2389"/>
        <w:gridCol w:w="2389"/>
      </w:tblGrid>
      <w:tr w:rsidR="00905999" w:rsidRPr="006613D1" w14:paraId="6329B1BD" w14:textId="77777777" w:rsidTr="00905999">
        <w:trPr>
          <w:trHeight w:val="36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8B51D" w14:textId="77777777" w:rsidR="00905999" w:rsidRPr="006613D1" w:rsidRDefault="00905999" w:rsidP="009059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14:paraId="0018BC75" w14:textId="77777777" w:rsidR="00194B75" w:rsidRPr="006613D1" w:rsidRDefault="00194B75" w:rsidP="00194B7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6613D1">
              <w:rPr>
                <w:rFonts w:asciiTheme="minorHAnsi" w:hAnsiTheme="minorHAnsi"/>
                <w:color w:val="auto"/>
              </w:rPr>
              <w:t>For each option a number of criteria were</w:t>
            </w:r>
          </w:p>
          <w:p w14:paraId="50027A58" w14:textId="77777777" w:rsidR="00194B75" w:rsidRPr="006613D1" w:rsidRDefault="00194B75" w:rsidP="00194B7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6613D1">
              <w:rPr>
                <w:rFonts w:asciiTheme="minorHAnsi" w:hAnsiTheme="minorHAnsi"/>
                <w:color w:val="auto"/>
              </w:rPr>
              <w:t xml:space="preserve">used and assessed using the following scale, with option 1, the current situation, forming the frame of reference: </w:t>
            </w:r>
          </w:p>
          <w:p w14:paraId="0A1C6865" w14:textId="77777777" w:rsidR="00194B75" w:rsidRPr="006613D1" w:rsidRDefault="00194B75" w:rsidP="00194B75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14:paraId="7EDD98D8" w14:textId="77777777" w:rsidR="00194B75" w:rsidRPr="006613D1" w:rsidRDefault="00194B75" w:rsidP="00194B7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6613D1">
              <w:rPr>
                <w:rFonts w:asciiTheme="minorHAnsi" w:hAnsiTheme="minorHAnsi"/>
                <w:color w:val="auto"/>
              </w:rPr>
              <w:t xml:space="preserve">3 = More than Sufficient </w:t>
            </w:r>
          </w:p>
          <w:p w14:paraId="163D927A" w14:textId="77777777" w:rsidR="00194B75" w:rsidRPr="006613D1" w:rsidRDefault="00194B75" w:rsidP="00194B7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6613D1">
              <w:rPr>
                <w:rFonts w:asciiTheme="minorHAnsi" w:hAnsiTheme="minorHAnsi"/>
                <w:color w:val="auto"/>
              </w:rPr>
              <w:t xml:space="preserve">2 = Sufficient </w:t>
            </w:r>
          </w:p>
          <w:p w14:paraId="53291D79" w14:textId="77777777" w:rsidR="00194B75" w:rsidRPr="006613D1" w:rsidRDefault="00194B75" w:rsidP="00194B7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6613D1">
              <w:rPr>
                <w:rFonts w:asciiTheme="minorHAnsi" w:hAnsiTheme="minorHAnsi"/>
                <w:color w:val="auto"/>
              </w:rPr>
              <w:t xml:space="preserve">1 = Partially Sufficient </w:t>
            </w:r>
          </w:p>
          <w:p w14:paraId="6B5C8BE9" w14:textId="77777777" w:rsidR="00194B75" w:rsidRPr="006613D1" w:rsidRDefault="00194B75" w:rsidP="00194B7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6613D1">
              <w:rPr>
                <w:rFonts w:asciiTheme="minorHAnsi" w:hAnsiTheme="minorHAnsi"/>
                <w:color w:val="auto"/>
              </w:rPr>
              <w:t xml:space="preserve">0 = Not met at all </w:t>
            </w:r>
          </w:p>
          <w:p w14:paraId="58706B7E" w14:textId="77777777" w:rsidR="00194B75" w:rsidRPr="006613D1" w:rsidRDefault="00194B75" w:rsidP="009059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14:paraId="6BD8B8BB" w14:textId="77777777" w:rsidR="00194B75" w:rsidRPr="006613D1" w:rsidRDefault="00194B75" w:rsidP="009059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14:paraId="7433D6B7" w14:textId="77777777" w:rsidR="00194B75" w:rsidRPr="006613D1" w:rsidRDefault="00194B75" w:rsidP="009059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14:paraId="03C12332" w14:textId="77777777" w:rsidR="00194B75" w:rsidRPr="006613D1" w:rsidRDefault="00194B75" w:rsidP="009059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FDA41" w14:textId="77777777" w:rsidR="00905999" w:rsidRPr="006613D1" w:rsidRDefault="00905999" w:rsidP="009059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4C615" w14:textId="77777777" w:rsidR="00905999" w:rsidRPr="006613D1" w:rsidRDefault="00905999" w:rsidP="009059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FFDEA2" w14:textId="77777777" w:rsidR="00905999" w:rsidRPr="006613D1" w:rsidRDefault="00905999" w:rsidP="009059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6B0CBFDF" w14:textId="77777777" w:rsidR="00905999" w:rsidRPr="006613D1" w:rsidRDefault="00905999" w:rsidP="009059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905999" w:rsidRPr="008109F9" w14:paraId="5D51224B" w14:textId="77777777" w:rsidTr="00905999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496DF" w14:textId="77777777" w:rsidR="00905999" w:rsidRPr="008109F9" w:rsidRDefault="00905999" w:rsidP="009059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6CC27A" w14:textId="77777777" w:rsidR="00905999" w:rsidRPr="008109F9" w:rsidRDefault="00905999" w:rsidP="009059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6D9785" w14:textId="77777777" w:rsidR="00905999" w:rsidRPr="008109F9" w:rsidRDefault="00905999" w:rsidP="009059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5A6A96" w14:textId="77777777" w:rsidR="00905999" w:rsidRPr="008109F9" w:rsidRDefault="00905999" w:rsidP="009059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B7C8D9" w14:textId="77777777" w:rsidR="00905999" w:rsidRPr="008109F9" w:rsidRDefault="00905999" w:rsidP="009059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5EA0E3D4" w14:textId="77777777" w:rsidR="00905999" w:rsidRPr="008109F9" w:rsidRDefault="00905999" w:rsidP="009059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9F51DD" w:rsidRPr="008109F9" w14:paraId="2248F85F" w14:textId="77777777" w:rsidTr="00750F02">
        <w:trPr>
          <w:gridBefore w:val="1"/>
          <w:gridAfter w:val="3"/>
          <w:wBefore w:w="567" w:type="dxa"/>
          <w:wAfter w:w="9357" w:type="dxa"/>
          <w:trHeight w:val="300"/>
        </w:trPr>
        <w:tc>
          <w:tcPr>
            <w:tcW w:w="2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C9D6EC4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lastRenderedPageBreak/>
              <w:t>Options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EAF0EAD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CD2C289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C7DEABE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A3674C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BE9437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9F51DD" w:rsidRPr="008109F9" w14:paraId="139A348C" w14:textId="77777777" w:rsidTr="00750F02">
        <w:trPr>
          <w:gridBefore w:val="1"/>
          <w:gridAfter w:val="3"/>
          <w:wBefore w:w="567" w:type="dxa"/>
          <w:wAfter w:w="9357" w:type="dxa"/>
          <w:trHeight w:val="1716"/>
        </w:trPr>
        <w:tc>
          <w:tcPr>
            <w:tcW w:w="2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6D07B0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5CCC719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Do Nothing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BFEF3F4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 xml:space="preserve">Refurbish of the existing facilities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EE1CABB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 xml:space="preserve">Refurbish and enhancement of existing facilities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2B41C7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New Build New Site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71A99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14:paraId="67145F55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New Build old Site</w:t>
            </w:r>
          </w:p>
        </w:tc>
      </w:tr>
      <w:tr w:rsidR="009F51DD" w:rsidRPr="008109F9" w14:paraId="56088460" w14:textId="77777777" w:rsidTr="00750F02">
        <w:trPr>
          <w:gridBefore w:val="1"/>
          <w:gridAfter w:val="3"/>
          <w:wBefore w:w="567" w:type="dxa"/>
          <w:wAfter w:w="9357" w:type="dxa"/>
          <w:trHeight w:val="288"/>
        </w:trPr>
        <w:tc>
          <w:tcPr>
            <w:tcW w:w="2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E8B38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Community Services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FAB32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7A4CA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9842B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003499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2EE964B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</w:tr>
      <w:tr w:rsidR="009F51DD" w:rsidRPr="008109F9" w14:paraId="3CFE905C" w14:textId="77777777" w:rsidTr="00750F02">
        <w:trPr>
          <w:gridBefore w:val="1"/>
          <w:gridAfter w:val="3"/>
          <w:wBefore w:w="567" w:type="dxa"/>
          <w:wAfter w:w="9357" w:type="dxa"/>
          <w:trHeight w:val="576"/>
        </w:trPr>
        <w:tc>
          <w:tcPr>
            <w:tcW w:w="2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B3B82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Opportunities to Attract Business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69B87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977D0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6445F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A9DA3D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12614F3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</w:tr>
      <w:tr w:rsidR="009F51DD" w:rsidRPr="008109F9" w14:paraId="048EE77D" w14:textId="77777777" w:rsidTr="00750F02">
        <w:trPr>
          <w:gridBefore w:val="1"/>
          <w:gridAfter w:val="3"/>
          <w:wBefore w:w="567" w:type="dxa"/>
          <w:wAfter w:w="9357" w:type="dxa"/>
          <w:trHeight w:val="288"/>
        </w:trPr>
        <w:tc>
          <w:tcPr>
            <w:tcW w:w="2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4EA59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Capital Cost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F1267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1CA7D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20BC8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4AC07C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1C7442A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9F51DD" w:rsidRPr="008109F9" w14:paraId="303ED396" w14:textId="77777777" w:rsidTr="00750F02">
        <w:trPr>
          <w:gridBefore w:val="1"/>
          <w:gridAfter w:val="3"/>
          <w:wBefore w:w="567" w:type="dxa"/>
          <w:wAfter w:w="9357" w:type="dxa"/>
          <w:trHeight w:val="288"/>
        </w:trPr>
        <w:tc>
          <w:tcPr>
            <w:tcW w:w="2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34CFF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Revenue Cost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DC162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09210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031E6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E72657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2B68CA9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</w:tr>
      <w:tr w:rsidR="009F51DD" w:rsidRPr="008109F9" w14:paraId="5FC2EA88" w14:textId="77777777" w:rsidTr="00750F02">
        <w:trPr>
          <w:gridBefore w:val="1"/>
          <w:gridAfter w:val="3"/>
          <w:wBefore w:w="567" w:type="dxa"/>
          <w:wAfter w:w="9357" w:type="dxa"/>
          <w:trHeight w:val="288"/>
        </w:trPr>
        <w:tc>
          <w:tcPr>
            <w:tcW w:w="2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7F111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Ease of Management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80645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570E4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89CE9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C89ECA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A8086DE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</w:tr>
      <w:tr w:rsidR="009F51DD" w:rsidRPr="008109F9" w14:paraId="291364D3" w14:textId="77777777" w:rsidTr="00750F02">
        <w:trPr>
          <w:gridBefore w:val="1"/>
          <w:gridAfter w:val="3"/>
          <w:wBefore w:w="567" w:type="dxa"/>
          <w:wAfter w:w="9357" w:type="dxa"/>
          <w:trHeight w:val="288"/>
        </w:trPr>
        <w:tc>
          <w:tcPr>
            <w:tcW w:w="2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C5539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Future needs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E422D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D8359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4E6B8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03DE36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0708E63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</w:tr>
      <w:tr w:rsidR="009F51DD" w:rsidRPr="008109F9" w14:paraId="6E7DDF9F" w14:textId="77777777" w:rsidTr="00750F02">
        <w:trPr>
          <w:gridBefore w:val="1"/>
          <w:gridAfter w:val="3"/>
          <w:wBefore w:w="567" w:type="dxa"/>
          <w:wAfter w:w="9357" w:type="dxa"/>
          <w:trHeight w:val="288"/>
        </w:trPr>
        <w:tc>
          <w:tcPr>
            <w:tcW w:w="2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FCC0A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Risk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39039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0A676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EC8D9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7BE759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7673C38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</w:tr>
      <w:tr w:rsidR="009F51DD" w:rsidRPr="008109F9" w14:paraId="7DE34510" w14:textId="77777777" w:rsidTr="00750F02">
        <w:trPr>
          <w:gridBefore w:val="1"/>
          <w:gridAfter w:val="3"/>
          <w:wBefore w:w="567" w:type="dxa"/>
          <w:wAfter w:w="9357" w:type="dxa"/>
          <w:trHeight w:val="288"/>
        </w:trPr>
        <w:tc>
          <w:tcPr>
            <w:tcW w:w="2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8C833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Environmental Impact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54D07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8F32A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56234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755DD3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59D4817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</w:tr>
      <w:tr w:rsidR="009F51DD" w:rsidRPr="008109F9" w14:paraId="560E51FE" w14:textId="77777777" w:rsidTr="00750F02">
        <w:trPr>
          <w:gridBefore w:val="1"/>
          <w:gridAfter w:val="3"/>
          <w:wBefore w:w="567" w:type="dxa"/>
          <w:wAfter w:w="9357" w:type="dxa"/>
          <w:trHeight w:val="288"/>
        </w:trPr>
        <w:tc>
          <w:tcPr>
            <w:tcW w:w="2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D652F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Deliverability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F84FB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D60E9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B884F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492B59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810C2D0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9F51DD" w:rsidRPr="008109F9" w14:paraId="6C76E9D2" w14:textId="77777777" w:rsidTr="00750F02">
        <w:trPr>
          <w:gridBefore w:val="1"/>
          <w:gridAfter w:val="3"/>
          <w:wBefore w:w="567" w:type="dxa"/>
          <w:wAfter w:w="9357" w:type="dxa"/>
          <w:trHeight w:val="288"/>
        </w:trPr>
        <w:tc>
          <w:tcPr>
            <w:tcW w:w="2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C7275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Timescale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FF601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D55CF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1D10C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8D93F2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7719BE8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9F51DD" w:rsidRPr="008109F9" w14:paraId="2378FF26" w14:textId="77777777" w:rsidTr="00750F02">
        <w:trPr>
          <w:gridBefore w:val="1"/>
          <w:gridAfter w:val="3"/>
          <w:wBefore w:w="567" w:type="dxa"/>
          <w:wAfter w:w="9357" w:type="dxa"/>
          <w:trHeight w:val="288"/>
        </w:trPr>
        <w:tc>
          <w:tcPr>
            <w:tcW w:w="2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515A0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Synergies: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B6A2C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50C07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B2D8D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AF5F3A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EE50837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</w:tr>
      <w:tr w:rsidR="009F51DD" w:rsidRPr="008109F9" w14:paraId="57BAC350" w14:textId="77777777" w:rsidTr="00750F02">
        <w:trPr>
          <w:gridBefore w:val="1"/>
          <w:gridAfter w:val="3"/>
          <w:wBefore w:w="567" w:type="dxa"/>
          <w:wAfter w:w="9357" w:type="dxa"/>
          <w:trHeight w:val="300"/>
        </w:trPr>
        <w:tc>
          <w:tcPr>
            <w:tcW w:w="2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3E10E1F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BE7B9BE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3CD78E1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CA314D3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62A843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DDE25D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14:paraId="0141E354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</w:tr>
      <w:tr w:rsidR="009F51DD" w:rsidRPr="008109F9" w14:paraId="0C13330C" w14:textId="77777777" w:rsidTr="00F41D86">
        <w:trPr>
          <w:gridBefore w:val="1"/>
          <w:gridAfter w:val="3"/>
          <w:wBefore w:w="567" w:type="dxa"/>
          <w:wAfter w:w="9357" w:type="dxa"/>
          <w:trHeight w:val="1393"/>
        </w:trPr>
        <w:tc>
          <w:tcPr>
            <w:tcW w:w="2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2E3BDF0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14:paraId="65FA7860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Ranking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4E8F30F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5</w:t>
            </w:r>
          </w:p>
          <w:p w14:paraId="07C16DC7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29D3147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4</w:t>
            </w:r>
          </w:p>
          <w:p w14:paraId="03783D4C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6D4518B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1</w:t>
            </w:r>
          </w:p>
          <w:p w14:paraId="0A491F89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4B7CAC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2</w:t>
            </w:r>
          </w:p>
          <w:p w14:paraId="14FAAB47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897FA2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14:paraId="08F25694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14:paraId="53F00E75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109F9">
              <w:rPr>
                <w:rFonts w:cs="Arial"/>
                <w:color w:val="000000"/>
                <w:sz w:val="24"/>
                <w:szCs w:val="24"/>
              </w:rPr>
              <w:t>3</w:t>
            </w:r>
          </w:p>
          <w:p w14:paraId="3B677C2A" w14:textId="77777777" w:rsidR="009F51DD" w:rsidRPr="008109F9" w:rsidRDefault="009F51DD" w:rsidP="00750F0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579A1A64" w14:textId="77777777" w:rsidR="00212BEB" w:rsidRDefault="00212BEB" w:rsidP="00905999">
      <w:pPr>
        <w:rPr>
          <w:b/>
          <w:sz w:val="24"/>
          <w:szCs w:val="24"/>
        </w:rPr>
      </w:pPr>
    </w:p>
    <w:p w14:paraId="4DF34FA9" w14:textId="77777777" w:rsidR="0016128C" w:rsidRDefault="0016128C" w:rsidP="00905999">
      <w:pPr>
        <w:rPr>
          <w:b/>
          <w:sz w:val="24"/>
          <w:szCs w:val="24"/>
        </w:rPr>
      </w:pPr>
      <w:r w:rsidRPr="0016128C">
        <w:rPr>
          <w:sz w:val="24"/>
          <w:szCs w:val="24"/>
        </w:rPr>
        <w:t xml:space="preserve">Based on the options review it was decided </w:t>
      </w:r>
      <w:r w:rsidRPr="004C529A">
        <w:rPr>
          <w:sz w:val="24"/>
          <w:szCs w:val="24"/>
        </w:rPr>
        <w:t xml:space="preserve">to </w:t>
      </w:r>
      <w:r w:rsidR="004C529A" w:rsidRPr="004C529A">
        <w:rPr>
          <w:sz w:val="24"/>
          <w:szCs w:val="24"/>
        </w:rPr>
        <w:t>follow option 3</w:t>
      </w:r>
    </w:p>
    <w:p w14:paraId="0A43DE5D" w14:textId="77777777" w:rsidR="0016128C" w:rsidRDefault="0016128C" w:rsidP="009059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16128C">
        <w:rPr>
          <w:b/>
          <w:sz w:val="24"/>
          <w:szCs w:val="24"/>
        </w:rPr>
        <w:t>Refurbish and enhancement of existing facilities</w:t>
      </w:r>
    </w:p>
    <w:p w14:paraId="68B652B3" w14:textId="77777777" w:rsidR="00194B75" w:rsidRPr="008109F9" w:rsidRDefault="00194B75" w:rsidP="00905999">
      <w:pPr>
        <w:rPr>
          <w:b/>
          <w:sz w:val="24"/>
          <w:szCs w:val="24"/>
        </w:rPr>
      </w:pPr>
    </w:p>
    <w:p w14:paraId="358F90B8" w14:textId="77777777" w:rsidR="00212BEB" w:rsidRPr="004C529A" w:rsidRDefault="00212BEB" w:rsidP="009908C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C529A">
        <w:rPr>
          <w:b/>
          <w:sz w:val="32"/>
          <w:szCs w:val="32"/>
        </w:rPr>
        <w:lastRenderedPageBreak/>
        <w:t>Community Involvement</w:t>
      </w:r>
    </w:p>
    <w:p w14:paraId="5FAFA7B4" w14:textId="77777777" w:rsidR="009F51DD" w:rsidRPr="008109F9" w:rsidRDefault="009F51DD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t>The Community has been involved with the project from an early stage.</w:t>
      </w:r>
    </w:p>
    <w:p w14:paraId="70C17B74" w14:textId="77777777" w:rsidR="009908C3" w:rsidRPr="008109F9" w:rsidRDefault="009908C3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t>Open meetings</w:t>
      </w:r>
      <w:r w:rsidR="009F51DD" w:rsidRPr="008109F9">
        <w:rPr>
          <w:sz w:val="24"/>
          <w:szCs w:val="24"/>
        </w:rPr>
        <w:t xml:space="preserve"> were held in 2016/2017 and a village survey was completed by over 300 residents giving </w:t>
      </w:r>
      <w:r w:rsidR="00194B75">
        <w:rPr>
          <w:sz w:val="24"/>
          <w:szCs w:val="24"/>
        </w:rPr>
        <w:t xml:space="preserve">a </w:t>
      </w:r>
      <w:r w:rsidR="009F51DD" w:rsidRPr="008109F9">
        <w:rPr>
          <w:sz w:val="24"/>
          <w:szCs w:val="24"/>
        </w:rPr>
        <w:t>clear indication of how the community wanted the project to progress.</w:t>
      </w:r>
    </w:p>
    <w:p w14:paraId="49AA13E4" w14:textId="77777777" w:rsidR="00212BEB" w:rsidRPr="008109F9" w:rsidRDefault="00F41D86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t xml:space="preserve">During the consultation it was also accepted by a high majority that an increase in the precept </w:t>
      </w:r>
      <w:r w:rsidR="00194B75">
        <w:rPr>
          <w:sz w:val="24"/>
          <w:szCs w:val="24"/>
        </w:rPr>
        <w:t xml:space="preserve">if required </w:t>
      </w:r>
      <w:r w:rsidRPr="008109F9">
        <w:rPr>
          <w:sz w:val="24"/>
          <w:szCs w:val="24"/>
        </w:rPr>
        <w:t xml:space="preserve">would be acceptable to help support the project. </w:t>
      </w:r>
    </w:p>
    <w:p w14:paraId="1CC9EA52" w14:textId="77777777" w:rsidR="00212BEB" w:rsidRPr="004C529A" w:rsidRDefault="00212BEB" w:rsidP="009908C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C529A">
        <w:rPr>
          <w:b/>
          <w:sz w:val="32"/>
          <w:szCs w:val="32"/>
        </w:rPr>
        <w:t>Planning approval</w:t>
      </w:r>
    </w:p>
    <w:p w14:paraId="092F1320" w14:textId="77777777" w:rsidR="00212BEB" w:rsidRPr="008109F9" w:rsidRDefault="009F51DD" w:rsidP="00307AB7">
      <w:pPr>
        <w:rPr>
          <w:b/>
          <w:sz w:val="24"/>
          <w:szCs w:val="24"/>
        </w:rPr>
      </w:pPr>
      <w:r w:rsidRPr="008109F9">
        <w:rPr>
          <w:sz w:val="24"/>
          <w:szCs w:val="24"/>
        </w:rPr>
        <w:t>Plans have been completed and planning approval was obtained in November 2017 this was followed by building regulation approval in May 2018</w:t>
      </w:r>
      <w:r w:rsidRPr="008109F9">
        <w:rPr>
          <w:b/>
          <w:sz w:val="24"/>
          <w:szCs w:val="24"/>
        </w:rPr>
        <w:t>.</w:t>
      </w:r>
    </w:p>
    <w:p w14:paraId="6DFD631A" w14:textId="77777777" w:rsidR="00212BEB" w:rsidRPr="004C529A" w:rsidRDefault="00212BEB" w:rsidP="009908C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C529A">
        <w:rPr>
          <w:b/>
          <w:sz w:val="32"/>
          <w:szCs w:val="32"/>
        </w:rPr>
        <w:t>Tender Options</w:t>
      </w:r>
    </w:p>
    <w:p w14:paraId="2CCFCA4B" w14:textId="77777777" w:rsidR="00212BEB" w:rsidRPr="008109F9" w:rsidRDefault="009F51DD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t xml:space="preserve">Tender documents have been produced and quotations </w:t>
      </w:r>
      <w:r w:rsidR="00194B75">
        <w:rPr>
          <w:sz w:val="24"/>
          <w:szCs w:val="24"/>
        </w:rPr>
        <w:t xml:space="preserve">requested from six contractors. Quotations have been </w:t>
      </w:r>
      <w:r w:rsidRPr="008109F9">
        <w:rPr>
          <w:sz w:val="24"/>
          <w:szCs w:val="24"/>
        </w:rPr>
        <w:t>received from three building contractors</w:t>
      </w:r>
    </w:p>
    <w:p w14:paraId="3A905DD0" w14:textId="77777777" w:rsidR="009F51DD" w:rsidRPr="00130EBB" w:rsidRDefault="009F51DD" w:rsidP="00307AB7">
      <w:pPr>
        <w:rPr>
          <w:sz w:val="24"/>
          <w:szCs w:val="24"/>
          <w:highlight w:val="black"/>
        </w:rPr>
      </w:pPr>
      <w:r w:rsidRPr="00130EBB">
        <w:rPr>
          <w:sz w:val="24"/>
          <w:szCs w:val="24"/>
          <w:highlight w:val="black"/>
        </w:rPr>
        <w:t>a)</w:t>
      </w:r>
      <w:r w:rsidR="00A27EF6" w:rsidRPr="00130EBB">
        <w:rPr>
          <w:sz w:val="24"/>
          <w:szCs w:val="24"/>
          <w:highlight w:val="black"/>
        </w:rPr>
        <w:t xml:space="preserve"> G K Developments   £193,602</w:t>
      </w:r>
    </w:p>
    <w:p w14:paraId="4F6BC1BD" w14:textId="77777777" w:rsidR="009F51DD" w:rsidRPr="00130EBB" w:rsidRDefault="009F51DD" w:rsidP="00307AB7">
      <w:pPr>
        <w:rPr>
          <w:sz w:val="24"/>
          <w:szCs w:val="24"/>
          <w:highlight w:val="black"/>
        </w:rPr>
      </w:pPr>
      <w:r w:rsidRPr="00130EBB">
        <w:rPr>
          <w:sz w:val="24"/>
          <w:szCs w:val="24"/>
          <w:highlight w:val="black"/>
        </w:rPr>
        <w:t>b)</w:t>
      </w:r>
      <w:r w:rsidR="00A27EF6" w:rsidRPr="00130EBB">
        <w:rPr>
          <w:sz w:val="24"/>
          <w:szCs w:val="24"/>
          <w:highlight w:val="black"/>
        </w:rPr>
        <w:t xml:space="preserve"> Andrews the builder £201,270</w:t>
      </w:r>
    </w:p>
    <w:p w14:paraId="73F44CF1" w14:textId="77777777" w:rsidR="009F51DD" w:rsidRPr="00130EBB" w:rsidRDefault="009F51DD" w:rsidP="00307AB7">
      <w:pPr>
        <w:rPr>
          <w:sz w:val="24"/>
          <w:szCs w:val="24"/>
          <w:highlight w:val="black"/>
        </w:rPr>
      </w:pPr>
      <w:r w:rsidRPr="00130EBB">
        <w:rPr>
          <w:sz w:val="24"/>
          <w:szCs w:val="24"/>
          <w:highlight w:val="black"/>
        </w:rPr>
        <w:t>c)</w:t>
      </w:r>
      <w:r w:rsidR="00A27EF6" w:rsidRPr="00130EBB">
        <w:rPr>
          <w:sz w:val="24"/>
          <w:szCs w:val="24"/>
          <w:highlight w:val="black"/>
        </w:rPr>
        <w:t xml:space="preserve"> </w:t>
      </w:r>
      <w:proofErr w:type="spellStart"/>
      <w:r w:rsidR="00A27EF6" w:rsidRPr="00130EBB">
        <w:rPr>
          <w:sz w:val="24"/>
          <w:szCs w:val="24"/>
          <w:highlight w:val="black"/>
        </w:rPr>
        <w:t>PJCole</w:t>
      </w:r>
      <w:proofErr w:type="spellEnd"/>
      <w:r w:rsidR="00A27EF6" w:rsidRPr="00130EBB">
        <w:rPr>
          <w:sz w:val="24"/>
          <w:szCs w:val="24"/>
          <w:highlight w:val="black"/>
        </w:rPr>
        <w:t xml:space="preserve"> </w:t>
      </w:r>
      <w:r w:rsidR="004C529A" w:rsidRPr="00130EBB">
        <w:rPr>
          <w:sz w:val="24"/>
          <w:szCs w:val="24"/>
          <w:highlight w:val="black"/>
        </w:rPr>
        <w:t>builders £</w:t>
      </w:r>
      <w:r w:rsidR="00A27EF6" w:rsidRPr="00130EBB">
        <w:rPr>
          <w:sz w:val="24"/>
          <w:szCs w:val="24"/>
          <w:highlight w:val="black"/>
        </w:rPr>
        <w:t>182,947</w:t>
      </w:r>
    </w:p>
    <w:p w14:paraId="7E38BF38" w14:textId="77777777" w:rsidR="00A27EF6" w:rsidRPr="008109F9" w:rsidRDefault="00A27EF6" w:rsidP="00307AB7">
      <w:pPr>
        <w:rPr>
          <w:sz w:val="24"/>
          <w:szCs w:val="24"/>
        </w:rPr>
      </w:pPr>
      <w:r w:rsidRPr="00130EBB">
        <w:rPr>
          <w:sz w:val="24"/>
          <w:szCs w:val="24"/>
          <w:highlight w:val="black"/>
        </w:rPr>
        <w:t>*the above quotes do not include VAT at 20%</w:t>
      </w:r>
    </w:p>
    <w:p w14:paraId="620CC958" w14:textId="77777777" w:rsidR="00212BEB" w:rsidRPr="004C529A" w:rsidRDefault="00212BEB" w:rsidP="009908C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C529A">
        <w:rPr>
          <w:b/>
          <w:sz w:val="32"/>
          <w:szCs w:val="32"/>
        </w:rPr>
        <w:t xml:space="preserve">Financial </w:t>
      </w:r>
    </w:p>
    <w:p w14:paraId="1F951481" w14:textId="77777777" w:rsidR="00212BEB" w:rsidRPr="008109F9" w:rsidRDefault="009F51DD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t>The Village Hall Management Committee is a no</w:t>
      </w:r>
      <w:r w:rsidR="0016128C">
        <w:rPr>
          <w:sz w:val="24"/>
          <w:szCs w:val="24"/>
        </w:rPr>
        <w:t>t</w:t>
      </w:r>
      <w:r w:rsidRPr="008109F9">
        <w:rPr>
          <w:sz w:val="24"/>
          <w:szCs w:val="24"/>
        </w:rPr>
        <w:t xml:space="preserve"> for profit charity and have no funds available to finance the project. The Parish Council have allocated £25,000 to help d</w:t>
      </w:r>
      <w:r w:rsidR="00A27EF6" w:rsidRPr="008109F9">
        <w:rPr>
          <w:sz w:val="24"/>
          <w:szCs w:val="24"/>
        </w:rPr>
        <w:t>e</w:t>
      </w:r>
      <w:r w:rsidRPr="008109F9">
        <w:rPr>
          <w:sz w:val="24"/>
          <w:szCs w:val="24"/>
        </w:rPr>
        <w:t xml:space="preserve">velop the project </w:t>
      </w:r>
      <w:r w:rsidR="00A27EF6" w:rsidRPr="008109F9">
        <w:rPr>
          <w:sz w:val="24"/>
          <w:szCs w:val="24"/>
        </w:rPr>
        <w:t xml:space="preserve">and </w:t>
      </w:r>
      <w:r w:rsidRPr="008109F9">
        <w:rPr>
          <w:sz w:val="24"/>
          <w:szCs w:val="24"/>
        </w:rPr>
        <w:t>have accrued another £</w:t>
      </w:r>
      <w:r w:rsidR="0030447F">
        <w:rPr>
          <w:sz w:val="24"/>
          <w:szCs w:val="24"/>
        </w:rPr>
        <w:t>3</w:t>
      </w:r>
      <w:r w:rsidRPr="008109F9">
        <w:rPr>
          <w:sz w:val="24"/>
          <w:szCs w:val="24"/>
        </w:rPr>
        <w:t>5,000 in reserves</w:t>
      </w:r>
      <w:r w:rsidR="0030447F">
        <w:rPr>
          <w:sz w:val="24"/>
          <w:szCs w:val="24"/>
        </w:rPr>
        <w:t xml:space="preserve"> giving a total of £60,000</w:t>
      </w:r>
      <w:r w:rsidR="00A27EF6" w:rsidRPr="008109F9">
        <w:rPr>
          <w:sz w:val="24"/>
          <w:szCs w:val="24"/>
        </w:rPr>
        <w:t>,</w:t>
      </w:r>
      <w:r w:rsidRPr="008109F9">
        <w:rPr>
          <w:sz w:val="24"/>
          <w:szCs w:val="24"/>
        </w:rPr>
        <w:t xml:space="preserve"> but this is insufficient </w:t>
      </w:r>
      <w:r w:rsidR="00A27EF6" w:rsidRPr="008109F9">
        <w:rPr>
          <w:sz w:val="24"/>
          <w:szCs w:val="24"/>
        </w:rPr>
        <w:t>to</w:t>
      </w:r>
      <w:r w:rsidRPr="008109F9">
        <w:rPr>
          <w:sz w:val="24"/>
          <w:szCs w:val="24"/>
        </w:rPr>
        <w:t xml:space="preserve"> finance the whole project. In order to fi</w:t>
      </w:r>
      <w:r w:rsidR="00A27EF6" w:rsidRPr="008109F9">
        <w:rPr>
          <w:sz w:val="24"/>
          <w:szCs w:val="24"/>
        </w:rPr>
        <w:t>n</w:t>
      </w:r>
      <w:r w:rsidRPr="008109F9">
        <w:rPr>
          <w:sz w:val="24"/>
          <w:szCs w:val="24"/>
        </w:rPr>
        <w:t>anc</w:t>
      </w:r>
      <w:r w:rsidR="00A27EF6" w:rsidRPr="008109F9">
        <w:rPr>
          <w:sz w:val="24"/>
          <w:szCs w:val="24"/>
        </w:rPr>
        <w:t>e</w:t>
      </w:r>
      <w:r w:rsidRPr="008109F9">
        <w:rPr>
          <w:sz w:val="24"/>
          <w:szCs w:val="24"/>
        </w:rPr>
        <w:t xml:space="preserve"> the project further funding will be required. </w:t>
      </w:r>
      <w:r w:rsidR="00470184" w:rsidRPr="008109F9">
        <w:rPr>
          <w:sz w:val="24"/>
          <w:szCs w:val="24"/>
        </w:rPr>
        <w:t xml:space="preserve">In recognition of this the annual precept was increased </w:t>
      </w:r>
      <w:r w:rsidR="006613D1">
        <w:rPr>
          <w:sz w:val="24"/>
          <w:szCs w:val="24"/>
        </w:rPr>
        <w:t xml:space="preserve">after full council approval </w:t>
      </w:r>
      <w:r w:rsidR="00470184" w:rsidRPr="008109F9">
        <w:rPr>
          <w:sz w:val="24"/>
          <w:szCs w:val="24"/>
        </w:rPr>
        <w:t>for 2018/2019.</w:t>
      </w:r>
    </w:p>
    <w:p w14:paraId="3540630B" w14:textId="77777777" w:rsidR="00212BEB" w:rsidRPr="004C529A" w:rsidRDefault="00212BEB" w:rsidP="00E7773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C529A">
        <w:rPr>
          <w:b/>
          <w:sz w:val="32"/>
          <w:szCs w:val="32"/>
        </w:rPr>
        <w:t>Grant funding</w:t>
      </w:r>
    </w:p>
    <w:p w14:paraId="02247018" w14:textId="77777777" w:rsidR="00212BEB" w:rsidRPr="008109F9" w:rsidRDefault="00A27EF6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t>Grant applications have been made to several organisations including the Big Lottery. Although we reached the final stages with the Big Lottery the end result was unsuccessful.</w:t>
      </w:r>
    </w:p>
    <w:p w14:paraId="4AED0D0E" w14:textId="77777777" w:rsidR="00A27EF6" w:rsidRDefault="00A27EF6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t xml:space="preserve">The latest application to Viridor credits for £91,000 has also reached the final stages and we are waiting for the result </w:t>
      </w:r>
    </w:p>
    <w:p w14:paraId="031A9EBE" w14:textId="77777777" w:rsidR="00194B75" w:rsidRPr="008109F9" w:rsidRDefault="00194B75" w:rsidP="00307AB7">
      <w:pPr>
        <w:rPr>
          <w:sz w:val="24"/>
          <w:szCs w:val="24"/>
        </w:rPr>
      </w:pPr>
    </w:p>
    <w:p w14:paraId="2F48A289" w14:textId="77777777" w:rsidR="00212BEB" w:rsidRPr="004C529A" w:rsidRDefault="00212BEB" w:rsidP="00E7773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C529A">
        <w:rPr>
          <w:b/>
          <w:sz w:val="32"/>
          <w:szCs w:val="32"/>
        </w:rPr>
        <w:lastRenderedPageBreak/>
        <w:t>Proposal</w:t>
      </w:r>
      <w:r w:rsidR="00194B75">
        <w:rPr>
          <w:b/>
          <w:sz w:val="32"/>
          <w:szCs w:val="32"/>
        </w:rPr>
        <w:t>s for review</w:t>
      </w:r>
      <w:r w:rsidRPr="004C529A">
        <w:rPr>
          <w:b/>
          <w:sz w:val="32"/>
          <w:szCs w:val="32"/>
        </w:rPr>
        <w:t xml:space="preserve"> </w:t>
      </w:r>
    </w:p>
    <w:p w14:paraId="10902E80" w14:textId="77777777" w:rsidR="00A27EF6" w:rsidRDefault="008109F9" w:rsidP="00307AB7">
      <w:pPr>
        <w:rPr>
          <w:sz w:val="24"/>
          <w:szCs w:val="24"/>
        </w:rPr>
      </w:pPr>
      <w:r>
        <w:rPr>
          <w:sz w:val="24"/>
          <w:szCs w:val="24"/>
        </w:rPr>
        <w:t>Based upon the details included within this report and consultation across the Community the following proposal</w:t>
      </w:r>
      <w:r w:rsidR="00A27EF6" w:rsidRPr="008109F9">
        <w:rPr>
          <w:sz w:val="24"/>
          <w:szCs w:val="24"/>
        </w:rPr>
        <w:t xml:space="preserve"> is presented for consideration by the Parish Councillors.</w:t>
      </w:r>
    </w:p>
    <w:p w14:paraId="0654AEFC" w14:textId="77777777" w:rsidR="008109F9" w:rsidRPr="008109F9" w:rsidRDefault="008109F9" w:rsidP="008109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09F9">
        <w:rPr>
          <w:sz w:val="24"/>
          <w:szCs w:val="24"/>
        </w:rPr>
        <w:t xml:space="preserve">The Village Hall is fully refurbished as per the </w:t>
      </w:r>
      <w:r>
        <w:rPr>
          <w:sz w:val="24"/>
          <w:szCs w:val="24"/>
        </w:rPr>
        <w:t xml:space="preserve">lowest </w:t>
      </w:r>
      <w:r w:rsidRPr="008109F9">
        <w:rPr>
          <w:sz w:val="24"/>
          <w:szCs w:val="24"/>
        </w:rPr>
        <w:t>quote received.</w:t>
      </w:r>
    </w:p>
    <w:p w14:paraId="79C99BC9" w14:textId="77777777" w:rsidR="008109F9" w:rsidRDefault="008109F9" w:rsidP="008109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£</w:t>
      </w:r>
      <w:r w:rsidR="00194B75">
        <w:rPr>
          <w:sz w:val="24"/>
          <w:szCs w:val="24"/>
        </w:rPr>
        <w:t>6</w:t>
      </w:r>
      <w:r>
        <w:rPr>
          <w:sz w:val="24"/>
          <w:szCs w:val="24"/>
        </w:rPr>
        <w:t>0,000 funding is provided from the Parish Council reserves.</w:t>
      </w:r>
    </w:p>
    <w:p w14:paraId="466A6E99" w14:textId="77777777" w:rsidR="008109F9" w:rsidRDefault="008109F9" w:rsidP="008109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 additional £5,000 is provided from the Village Hall Management Committee</w:t>
      </w:r>
    </w:p>
    <w:p w14:paraId="7C21B1BB" w14:textId="77777777" w:rsidR="008109F9" w:rsidRDefault="008109F9" w:rsidP="008109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Grant provided by Viridor Credit</w:t>
      </w:r>
      <w:r w:rsidR="0030447F">
        <w:rPr>
          <w:sz w:val="24"/>
          <w:szCs w:val="24"/>
        </w:rPr>
        <w:t xml:space="preserve"> if successful.</w:t>
      </w:r>
    </w:p>
    <w:p w14:paraId="33AC3E15" w14:textId="77777777" w:rsidR="008109F9" w:rsidRPr="008109F9" w:rsidRDefault="008109F9" w:rsidP="008109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Balance of funds provided by the Parish Council, obtained</w:t>
      </w:r>
      <w:r w:rsidRPr="008109F9">
        <w:rPr>
          <w:sz w:val="24"/>
          <w:szCs w:val="24"/>
        </w:rPr>
        <w:t xml:space="preserve"> from a loan from the Public Works Loan Board and financed via the village precept. </w:t>
      </w:r>
    </w:p>
    <w:p w14:paraId="71D67BE0" w14:textId="77777777" w:rsidR="00F41D86" w:rsidRPr="008109F9" w:rsidRDefault="00A27EF6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t xml:space="preserve">Project cost based on the lowest quotation    £182,947 </w:t>
      </w:r>
      <w:r w:rsidR="00F41D86" w:rsidRPr="008109F9">
        <w:rPr>
          <w:sz w:val="24"/>
          <w:szCs w:val="24"/>
        </w:rPr>
        <w:t>+ vat £</w:t>
      </w:r>
      <w:r w:rsidR="004C529A" w:rsidRPr="008109F9">
        <w:rPr>
          <w:sz w:val="24"/>
          <w:szCs w:val="24"/>
        </w:rPr>
        <w:t>36,598</w:t>
      </w:r>
      <w:r w:rsidR="000B42BD">
        <w:rPr>
          <w:sz w:val="24"/>
          <w:szCs w:val="24"/>
        </w:rPr>
        <w:t>*</w:t>
      </w:r>
      <w:r w:rsidR="004C529A" w:rsidRPr="008109F9">
        <w:rPr>
          <w:sz w:val="24"/>
          <w:szCs w:val="24"/>
        </w:rPr>
        <w:t xml:space="preserve"> = £</w:t>
      </w:r>
      <w:r w:rsidR="00F41D86" w:rsidRPr="008109F9">
        <w:rPr>
          <w:sz w:val="24"/>
          <w:szCs w:val="24"/>
        </w:rPr>
        <w:t>219,536</w:t>
      </w:r>
    </w:p>
    <w:p w14:paraId="4C5B2ED2" w14:textId="77777777" w:rsidR="00A27EF6" w:rsidRPr="008109F9" w:rsidRDefault="00A27EF6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t xml:space="preserve">Funds from existing Parish Council reserves   </w:t>
      </w:r>
      <w:r w:rsidR="00F41D86" w:rsidRPr="008109F9">
        <w:rPr>
          <w:sz w:val="24"/>
          <w:szCs w:val="24"/>
        </w:rPr>
        <w:t xml:space="preserve">                                                  </w:t>
      </w:r>
      <w:r w:rsidRPr="008109F9">
        <w:rPr>
          <w:sz w:val="24"/>
          <w:szCs w:val="24"/>
        </w:rPr>
        <w:t xml:space="preserve"> £</w:t>
      </w:r>
      <w:r w:rsidR="006613D1">
        <w:rPr>
          <w:sz w:val="24"/>
          <w:szCs w:val="24"/>
        </w:rPr>
        <w:t>6</w:t>
      </w:r>
      <w:r w:rsidR="00F41D86" w:rsidRPr="008109F9">
        <w:rPr>
          <w:sz w:val="24"/>
          <w:szCs w:val="24"/>
        </w:rPr>
        <w:t>0,000</w:t>
      </w:r>
    </w:p>
    <w:p w14:paraId="611FFE3C" w14:textId="77777777" w:rsidR="00212BEB" w:rsidRPr="008109F9" w:rsidRDefault="00F41D86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t xml:space="preserve">Fundraising contribution </w:t>
      </w:r>
      <w:r w:rsidR="0030447F">
        <w:rPr>
          <w:sz w:val="24"/>
          <w:szCs w:val="24"/>
        </w:rPr>
        <w:t>from Village Hall</w:t>
      </w:r>
      <w:r w:rsidRPr="008109F9">
        <w:rPr>
          <w:sz w:val="24"/>
          <w:szCs w:val="24"/>
        </w:rPr>
        <w:t xml:space="preserve">                                                           £5,000</w:t>
      </w:r>
    </w:p>
    <w:p w14:paraId="23693CBC" w14:textId="77777777" w:rsidR="00F41D86" w:rsidRPr="008109F9" w:rsidRDefault="00F41D86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t>Shortfall                                                                                                                 £ 1</w:t>
      </w:r>
      <w:r w:rsidR="0030447F">
        <w:rPr>
          <w:sz w:val="24"/>
          <w:szCs w:val="24"/>
        </w:rPr>
        <w:t>5</w:t>
      </w:r>
      <w:r w:rsidRPr="008109F9">
        <w:rPr>
          <w:sz w:val="24"/>
          <w:szCs w:val="24"/>
        </w:rPr>
        <w:t>4,536</w:t>
      </w:r>
    </w:p>
    <w:p w14:paraId="174BB238" w14:textId="77777777" w:rsidR="00307AB7" w:rsidRPr="008109F9" w:rsidRDefault="00F41D86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t>Viridor Credits</w:t>
      </w:r>
      <w:r w:rsidR="008109F9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613D1">
        <w:rPr>
          <w:sz w:val="24"/>
          <w:szCs w:val="24"/>
        </w:rPr>
        <w:t>tb</w:t>
      </w:r>
      <w:r w:rsidR="0030447F">
        <w:rPr>
          <w:sz w:val="24"/>
          <w:szCs w:val="24"/>
        </w:rPr>
        <w:t>c</w:t>
      </w:r>
    </w:p>
    <w:p w14:paraId="4E00D17B" w14:textId="77777777" w:rsidR="00307AB7" w:rsidRDefault="00F41D86" w:rsidP="00307AB7">
      <w:pPr>
        <w:rPr>
          <w:sz w:val="24"/>
          <w:szCs w:val="24"/>
        </w:rPr>
      </w:pPr>
      <w:r w:rsidRPr="008109F9">
        <w:rPr>
          <w:sz w:val="24"/>
          <w:szCs w:val="24"/>
        </w:rPr>
        <w:t>Parish Council PWLB</w:t>
      </w:r>
      <w:r w:rsidR="008109F9">
        <w:rPr>
          <w:sz w:val="24"/>
          <w:szCs w:val="24"/>
        </w:rPr>
        <w:t xml:space="preserve">                                                                                             </w:t>
      </w:r>
      <w:r w:rsidR="006613D1">
        <w:rPr>
          <w:sz w:val="24"/>
          <w:szCs w:val="24"/>
        </w:rPr>
        <w:t>£150,000</w:t>
      </w:r>
    </w:p>
    <w:p w14:paraId="10712BEF" w14:textId="77777777" w:rsidR="008109F9" w:rsidRDefault="000B42BD" w:rsidP="00307AB7">
      <w:pPr>
        <w:rPr>
          <w:sz w:val="24"/>
          <w:szCs w:val="24"/>
        </w:rPr>
      </w:pPr>
      <w:r>
        <w:rPr>
          <w:sz w:val="24"/>
          <w:szCs w:val="24"/>
        </w:rPr>
        <w:t>*VAT may be a recoverable cost</w:t>
      </w:r>
    </w:p>
    <w:p w14:paraId="60AF37E7" w14:textId="77777777" w:rsidR="008109F9" w:rsidRDefault="008109F9" w:rsidP="00307AB7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6613D1">
        <w:rPr>
          <w:sz w:val="24"/>
          <w:szCs w:val="24"/>
        </w:rPr>
        <w:t xml:space="preserve">report </w:t>
      </w:r>
      <w:r>
        <w:rPr>
          <w:sz w:val="24"/>
          <w:szCs w:val="24"/>
        </w:rPr>
        <w:t>is provide</w:t>
      </w:r>
      <w:r w:rsidR="006613D1">
        <w:rPr>
          <w:sz w:val="24"/>
          <w:szCs w:val="24"/>
        </w:rPr>
        <w:t>d</w:t>
      </w:r>
      <w:r>
        <w:rPr>
          <w:sz w:val="24"/>
          <w:szCs w:val="24"/>
        </w:rPr>
        <w:t xml:space="preserve"> to the Parish Council for consideration at the meeting on 25</w:t>
      </w:r>
      <w:r w:rsidRPr="008109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2018.</w:t>
      </w:r>
    </w:p>
    <w:p w14:paraId="3D008F15" w14:textId="77777777" w:rsidR="008109F9" w:rsidRDefault="008109F9" w:rsidP="00307AB7">
      <w:pPr>
        <w:rPr>
          <w:sz w:val="24"/>
          <w:szCs w:val="24"/>
        </w:rPr>
      </w:pPr>
      <w:r>
        <w:rPr>
          <w:sz w:val="24"/>
          <w:szCs w:val="24"/>
        </w:rPr>
        <w:t>John Funnell</w:t>
      </w:r>
    </w:p>
    <w:p w14:paraId="597DDD43" w14:textId="77777777" w:rsidR="008109F9" w:rsidRDefault="008109F9" w:rsidP="00307AB7">
      <w:pPr>
        <w:rPr>
          <w:sz w:val="24"/>
          <w:szCs w:val="24"/>
        </w:rPr>
      </w:pPr>
      <w:r>
        <w:rPr>
          <w:sz w:val="24"/>
          <w:szCs w:val="24"/>
        </w:rPr>
        <w:t>Chair</w:t>
      </w:r>
    </w:p>
    <w:p w14:paraId="4C9E3BDD" w14:textId="77777777" w:rsidR="008109F9" w:rsidRDefault="008109F9" w:rsidP="00307AB7">
      <w:pPr>
        <w:rPr>
          <w:sz w:val="24"/>
          <w:szCs w:val="24"/>
        </w:rPr>
      </w:pPr>
      <w:r>
        <w:rPr>
          <w:sz w:val="24"/>
          <w:szCs w:val="24"/>
        </w:rPr>
        <w:t>Morton Parish Council</w:t>
      </w:r>
    </w:p>
    <w:p w14:paraId="6D6B7608" w14:textId="77777777" w:rsidR="00130EBB" w:rsidRDefault="00130EBB" w:rsidP="00307AB7">
      <w:pPr>
        <w:rPr>
          <w:sz w:val="24"/>
          <w:szCs w:val="24"/>
        </w:rPr>
      </w:pPr>
    </w:p>
    <w:p w14:paraId="4E9C0E8F" w14:textId="77777777" w:rsidR="00671524" w:rsidRPr="00143ADA" w:rsidRDefault="00DB2C33" w:rsidP="00DB2C33">
      <w:pPr>
        <w:rPr>
          <w:sz w:val="24"/>
          <w:szCs w:val="24"/>
        </w:rPr>
      </w:pPr>
      <w:r w:rsidRPr="00143ADA">
        <w:rPr>
          <w:sz w:val="24"/>
          <w:szCs w:val="24"/>
        </w:rPr>
        <w:t>*F</w:t>
      </w:r>
      <w:r w:rsidR="00671524" w:rsidRPr="00143ADA">
        <w:rPr>
          <w:sz w:val="24"/>
          <w:szCs w:val="24"/>
        </w:rPr>
        <w:t>ootnote</w:t>
      </w:r>
    </w:p>
    <w:p w14:paraId="53E77551" w14:textId="77777777" w:rsidR="00870518" w:rsidRPr="00143ADA" w:rsidRDefault="00870518" w:rsidP="00307AB7">
      <w:pPr>
        <w:rPr>
          <w:sz w:val="24"/>
          <w:szCs w:val="24"/>
        </w:rPr>
      </w:pPr>
      <w:r w:rsidRPr="00143ADA">
        <w:rPr>
          <w:sz w:val="24"/>
          <w:szCs w:val="24"/>
        </w:rPr>
        <w:t>The village Hall is owned by the Parish Council and leased to the Village Hall Management Committee.</w:t>
      </w:r>
    </w:p>
    <w:p w14:paraId="718C7772" w14:textId="77777777" w:rsidR="00671524" w:rsidRPr="00143ADA" w:rsidRDefault="00671524" w:rsidP="00307AB7">
      <w:pPr>
        <w:rPr>
          <w:sz w:val="24"/>
          <w:szCs w:val="24"/>
        </w:rPr>
      </w:pPr>
      <w:r w:rsidRPr="00143ADA">
        <w:rPr>
          <w:sz w:val="24"/>
          <w:szCs w:val="24"/>
        </w:rPr>
        <w:t xml:space="preserve">The </w:t>
      </w:r>
      <w:r w:rsidR="00DB2C33" w:rsidRPr="00143ADA">
        <w:rPr>
          <w:sz w:val="24"/>
          <w:szCs w:val="24"/>
        </w:rPr>
        <w:t xml:space="preserve">above </w:t>
      </w:r>
      <w:r w:rsidRPr="00143ADA">
        <w:rPr>
          <w:sz w:val="24"/>
          <w:szCs w:val="24"/>
        </w:rPr>
        <w:t>report was considered at the meeting on the 25</w:t>
      </w:r>
      <w:r w:rsidRPr="00143ADA">
        <w:rPr>
          <w:sz w:val="24"/>
          <w:szCs w:val="24"/>
          <w:vertAlign w:val="superscript"/>
        </w:rPr>
        <w:t>th</w:t>
      </w:r>
      <w:r w:rsidRPr="00143ADA">
        <w:rPr>
          <w:sz w:val="24"/>
          <w:szCs w:val="24"/>
        </w:rPr>
        <w:t xml:space="preserve"> June and it was proposed a subcommittee meet to review the preferred way forward. This meeting took place on the 9</w:t>
      </w:r>
      <w:r w:rsidRPr="00143ADA">
        <w:rPr>
          <w:sz w:val="24"/>
          <w:szCs w:val="24"/>
          <w:vertAlign w:val="superscript"/>
        </w:rPr>
        <w:t>th</w:t>
      </w:r>
      <w:r w:rsidRPr="00143ADA">
        <w:rPr>
          <w:sz w:val="24"/>
          <w:szCs w:val="24"/>
        </w:rPr>
        <w:t xml:space="preserve"> July and was attended by most councillors.</w:t>
      </w:r>
    </w:p>
    <w:p w14:paraId="34CF3425" w14:textId="77777777" w:rsidR="00671524" w:rsidRPr="00143ADA" w:rsidRDefault="00671524" w:rsidP="00307AB7">
      <w:pPr>
        <w:rPr>
          <w:sz w:val="24"/>
          <w:szCs w:val="24"/>
        </w:rPr>
      </w:pPr>
      <w:r w:rsidRPr="00143ADA">
        <w:rPr>
          <w:sz w:val="24"/>
          <w:szCs w:val="24"/>
        </w:rPr>
        <w:t xml:space="preserve">At this meeting it was discussed how best to take the project forward </w:t>
      </w:r>
      <w:r w:rsidR="00DB2C33" w:rsidRPr="00143ADA">
        <w:rPr>
          <w:sz w:val="24"/>
          <w:szCs w:val="24"/>
        </w:rPr>
        <w:t>with or without t</w:t>
      </w:r>
      <w:r w:rsidRPr="00143ADA">
        <w:rPr>
          <w:sz w:val="24"/>
          <w:szCs w:val="24"/>
        </w:rPr>
        <w:t xml:space="preserve">he grant from Viridor credit </w:t>
      </w:r>
      <w:r w:rsidR="00870518" w:rsidRPr="00143ADA">
        <w:rPr>
          <w:sz w:val="24"/>
          <w:szCs w:val="24"/>
        </w:rPr>
        <w:t xml:space="preserve">which at this meeting </w:t>
      </w:r>
      <w:r w:rsidRPr="00143ADA">
        <w:rPr>
          <w:sz w:val="24"/>
          <w:szCs w:val="24"/>
        </w:rPr>
        <w:t>was not approved.</w:t>
      </w:r>
    </w:p>
    <w:p w14:paraId="0C10404B" w14:textId="77777777" w:rsidR="00671524" w:rsidRPr="00143ADA" w:rsidRDefault="00671524" w:rsidP="00307AB7">
      <w:pPr>
        <w:rPr>
          <w:sz w:val="24"/>
          <w:szCs w:val="24"/>
        </w:rPr>
      </w:pPr>
      <w:r w:rsidRPr="00143ADA">
        <w:rPr>
          <w:sz w:val="24"/>
          <w:szCs w:val="24"/>
        </w:rPr>
        <w:lastRenderedPageBreak/>
        <w:t xml:space="preserve">The meeting agreed to recommend applying for a loan of £150,000 from the PWLB which would enable the basic project to go ahead without a grant from Viridor. If the grant was successful then the project could go ahead and the additional funds </w:t>
      </w:r>
      <w:r w:rsidR="00DB2C33" w:rsidRPr="00143ADA">
        <w:rPr>
          <w:sz w:val="24"/>
          <w:szCs w:val="24"/>
        </w:rPr>
        <w:t xml:space="preserve">would </w:t>
      </w:r>
      <w:r w:rsidRPr="00143ADA">
        <w:rPr>
          <w:sz w:val="24"/>
          <w:szCs w:val="24"/>
        </w:rPr>
        <w:t xml:space="preserve">mean that additional items could be included in the project which </w:t>
      </w:r>
      <w:r w:rsidR="00DB2C33" w:rsidRPr="00143ADA">
        <w:rPr>
          <w:sz w:val="24"/>
          <w:szCs w:val="24"/>
        </w:rPr>
        <w:t xml:space="preserve">had been </w:t>
      </w:r>
      <w:r w:rsidRPr="00143ADA">
        <w:rPr>
          <w:sz w:val="24"/>
          <w:szCs w:val="24"/>
        </w:rPr>
        <w:t xml:space="preserve">phased </w:t>
      </w:r>
      <w:r w:rsidR="00870518" w:rsidRPr="00143ADA">
        <w:rPr>
          <w:sz w:val="24"/>
          <w:szCs w:val="24"/>
        </w:rPr>
        <w:t xml:space="preserve">for completion </w:t>
      </w:r>
      <w:r w:rsidR="00DB2C33" w:rsidRPr="00143ADA">
        <w:rPr>
          <w:sz w:val="24"/>
          <w:szCs w:val="24"/>
        </w:rPr>
        <w:t>at a later stage.</w:t>
      </w:r>
    </w:p>
    <w:p w14:paraId="667F3058" w14:textId="77777777" w:rsidR="00870518" w:rsidRPr="00143ADA" w:rsidRDefault="00870518" w:rsidP="00307AB7">
      <w:pPr>
        <w:rPr>
          <w:sz w:val="24"/>
          <w:szCs w:val="24"/>
        </w:rPr>
      </w:pPr>
      <w:r w:rsidRPr="00143ADA">
        <w:rPr>
          <w:sz w:val="24"/>
          <w:szCs w:val="24"/>
        </w:rPr>
        <w:t xml:space="preserve">The project was always planned to be a partnership between the Village Hall Management Committee who are a registered charity and the Parish Council. </w:t>
      </w:r>
    </w:p>
    <w:p w14:paraId="386E9B87" w14:textId="77777777" w:rsidR="00143ADA" w:rsidRPr="00143ADA" w:rsidRDefault="00143ADA" w:rsidP="00307AB7">
      <w:pPr>
        <w:rPr>
          <w:sz w:val="24"/>
          <w:szCs w:val="24"/>
        </w:rPr>
      </w:pPr>
      <w:r w:rsidRPr="00143ADA">
        <w:rPr>
          <w:sz w:val="24"/>
          <w:szCs w:val="24"/>
        </w:rPr>
        <w:t>A resolution t</w:t>
      </w:r>
      <w:r w:rsidR="001E3EF7">
        <w:rPr>
          <w:sz w:val="24"/>
          <w:szCs w:val="24"/>
        </w:rPr>
        <w:t>o</w:t>
      </w:r>
      <w:r w:rsidRPr="00143ADA">
        <w:rPr>
          <w:sz w:val="24"/>
          <w:szCs w:val="24"/>
        </w:rPr>
        <w:t xml:space="preserve"> apply for a Loan from the Secretary of State via a Public Works Loan Board was passed unanimously at the Parish Council meeting on the 16</w:t>
      </w:r>
      <w:r w:rsidRPr="00143ADA">
        <w:rPr>
          <w:sz w:val="24"/>
          <w:szCs w:val="24"/>
          <w:vertAlign w:val="superscript"/>
        </w:rPr>
        <w:t>th</w:t>
      </w:r>
      <w:r w:rsidRPr="00143ADA">
        <w:rPr>
          <w:sz w:val="24"/>
          <w:szCs w:val="24"/>
        </w:rPr>
        <w:t xml:space="preserve"> July.</w:t>
      </w:r>
    </w:p>
    <w:p w14:paraId="065151AE" w14:textId="77777777" w:rsidR="00143ADA" w:rsidRPr="00143ADA" w:rsidRDefault="00143ADA" w:rsidP="00307AB7">
      <w:pPr>
        <w:rPr>
          <w:sz w:val="24"/>
          <w:szCs w:val="24"/>
        </w:rPr>
      </w:pPr>
    </w:p>
    <w:p w14:paraId="78B72632" w14:textId="77777777" w:rsidR="00143ADA" w:rsidRPr="00FC3326" w:rsidRDefault="00143ADA" w:rsidP="00143ADA">
      <w:pPr>
        <w:rPr>
          <w:rFonts w:ascii="Arial" w:hAnsi="Arial" w:cs="Arial"/>
          <w:i/>
          <w:sz w:val="28"/>
          <w:szCs w:val="28"/>
        </w:rPr>
      </w:pPr>
      <w:r w:rsidRPr="00FC3326">
        <w:rPr>
          <w:rFonts w:ascii="Arial" w:hAnsi="Arial" w:cs="Arial"/>
          <w:i/>
          <w:sz w:val="28"/>
          <w:szCs w:val="28"/>
        </w:rPr>
        <w:t xml:space="preserve">This report was accepted by the </w:t>
      </w:r>
      <w:r>
        <w:rPr>
          <w:rFonts w:ascii="Arial" w:hAnsi="Arial" w:cs="Arial"/>
          <w:i/>
          <w:sz w:val="28"/>
          <w:szCs w:val="28"/>
        </w:rPr>
        <w:t>P</w:t>
      </w:r>
      <w:r w:rsidRPr="00FC3326">
        <w:rPr>
          <w:rFonts w:ascii="Arial" w:hAnsi="Arial" w:cs="Arial"/>
          <w:i/>
          <w:sz w:val="28"/>
          <w:szCs w:val="28"/>
        </w:rPr>
        <w:t>arish Council at the meeting on the 25</w:t>
      </w:r>
      <w:r w:rsidRPr="00FC3326">
        <w:rPr>
          <w:rFonts w:ascii="Arial" w:hAnsi="Arial" w:cs="Arial"/>
          <w:i/>
          <w:sz w:val="28"/>
          <w:szCs w:val="28"/>
          <w:vertAlign w:val="superscript"/>
        </w:rPr>
        <w:t>th</w:t>
      </w:r>
      <w:r w:rsidRPr="00FC3326">
        <w:rPr>
          <w:rFonts w:ascii="Arial" w:hAnsi="Arial" w:cs="Arial"/>
          <w:i/>
          <w:sz w:val="28"/>
          <w:szCs w:val="28"/>
        </w:rPr>
        <w:t xml:space="preserve"> June with a resolution passed to apply for the loan from the Secretary of </w:t>
      </w:r>
      <w:r>
        <w:rPr>
          <w:rFonts w:ascii="Arial" w:hAnsi="Arial" w:cs="Arial"/>
          <w:i/>
          <w:sz w:val="28"/>
          <w:szCs w:val="28"/>
        </w:rPr>
        <w:t>S</w:t>
      </w:r>
      <w:r w:rsidRPr="00FC3326">
        <w:rPr>
          <w:rFonts w:ascii="Arial" w:hAnsi="Arial" w:cs="Arial"/>
          <w:i/>
          <w:sz w:val="28"/>
          <w:szCs w:val="28"/>
        </w:rPr>
        <w:t xml:space="preserve">tate </w:t>
      </w:r>
      <w:r>
        <w:rPr>
          <w:rFonts w:ascii="Arial" w:hAnsi="Arial" w:cs="Arial"/>
          <w:i/>
          <w:sz w:val="28"/>
          <w:szCs w:val="28"/>
        </w:rPr>
        <w:t xml:space="preserve">via the </w:t>
      </w:r>
      <w:r w:rsidRPr="00FC3326">
        <w:rPr>
          <w:rFonts w:ascii="Arial" w:hAnsi="Arial" w:cs="Arial"/>
          <w:i/>
          <w:sz w:val="28"/>
          <w:szCs w:val="28"/>
        </w:rPr>
        <w:t>Public Works Loan Board</w:t>
      </w:r>
      <w:r>
        <w:rPr>
          <w:rFonts w:ascii="Arial" w:hAnsi="Arial" w:cs="Arial"/>
          <w:i/>
          <w:sz w:val="28"/>
          <w:szCs w:val="28"/>
        </w:rPr>
        <w:t xml:space="preserve"> at the Parish Council meeting on the 16</w:t>
      </w:r>
      <w:r w:rsidRPr="00143ADA">
        <w:rPr>
          <w:rFonts w:ascii="Arial" w:hAnsi="Arial" w:cs="Arial"/>
          <w:i/>
          <w:sz w:val="28"/>
          <w:szCs w:val="28"/>
          <w:vertAlign w:val="superscript"/>
        </w:rPr>
        <w:t>th</w:t>
      </w:r>
      <w:r>
        <w:rPr>
          <w:rFonts w:ascii="Arial" w:hAnsi="Arial" w:cs="Arial"/>
          <w:i/>
          <w:sz w:val="28"/>
          <w:szCs w:val="28"/>
        </w:rPr>
        <w:t xml:space="preserve"> July 2018</w:t>
      </w:r>
      <w:r w:rsidRPr="00FC3326">
        <w:rPr>
          <w:rFonts w:ascii="Arial" w:hAnsi="Arial" w:cs="Arial"/>
          <w:i/>
          <w:sz w:val="28"/>
          <w:szCs w:val="28"/>
        </w:rPr>
        <w:t>.</w:t>
      </w:r>
    </w:p>
    <w:p w14:paraId="25414FE4" w14:textId="77777777" w:rsidR="00143ADA" w:rsidRPr="00FC3326" w:rsidRDefault="00143ADA" w:rsidP="00143ADA">
      <w:pPr>
        <w:pStyle w:val="NormalWeb"/>
        <w:spacing w:after="200" w:line="276" w:lineRule="auto"/>
        <w:rPr>
          <w:rFonts w:ascii="Arial" w:hAnsi="Arial" w:cs="Arial"/>
          <w:i/>
          <w:sz w:val="28"/>
          <w:szCs w:val="28"/>
          <w:u w:val="single"/>
          <w:lang w:eastAsia="en-US"/>
        </w:rPr>
      </w:pPr>
      <w:r w:rsidRPr="00FC3326">
        <w:rPr>
          <w:rFonts w:ascii="Arial" w:hAnsi="Arial" w:cs="Arial"/>
          <w:i/>
          <w:sz w:val="28"/>
          <w:szCs w:val="28"/>
          <w:lang w:eastAsia="en-US"/>
        </w:rPr>
        <w:t xml:space="preserve">If anyone wants to comment on this </w:t>
      </w:r>
      <w:r w:rsidR="001E3EF7">
        <w:rPr>
          <w:rFonts w:ascii="Arial" w:hAnsi="Arial" w:cs="Arial"/>
          <w:i/>
          <w:sz w:val="28"/>
          <w:szCs w:val="28"/>
          <w:lang w:eastAsia="en-US"/>
        </w:rPr>
        <w:t xml:space="preserve">report and the </w:t>
      </w:r>
      <w:r w:rsidRPr="00FC3326">
        <w:rPr>
          <w:rFonts w:ascii="Arial" w:hAnsi="Arial" w:cs="Arial"/>
          <w:i/>
          <w:sz w:val="28"/>
          <w:szCs w:val="28"/>
          <w:lang w:eastAsia="en-US"/>
        </w:rPr>
        <w:t>resolution with any suggestions</w:t>
      </w:r>
      <w:r w:rsidR="001E3EF7">
        <w:rPr>
          <w:rFonts w:ascii="Arial" w:hAnsi="Arial" w:cs="Arial"/>
          <w:i/>
          <w:sz w:val="28"/>
          <w:szCs w:val="28"/>
          <w:lang w:eastAsia="en-US"/>
        </w:rPr>
        <w:t>, recommendations</w:t>
      </w:r>
      <w:r w:rsidRPr="00FC3326">
        <w:rPr>
          <w:rFonts w:ascii="Arial" w:hAnsi="Arial" w:cs="Arial"/>
          <w:i/>
          <w:sz w:val="28"/>
          <w:szCs w:val="28"/>
          <w:lang w:eastAsia="en-US"/>
        </w:rPr>
        <w:t xml:space="preserve"> or opinion please contact the Parish Clerk. </w:t>
      </w:r>
      <w:r w:rsidRPr="00143ADA">
        <w:rPr>
          <w:rFonts w:ascii="Arial" w:hAnsi="Arial" w:cs="Arial"/>
          <w:i/>
          <w:color w:val="0070C0"/>
          <w:sz w:val="28"/>
          <w:szCs w:val="28"/>
          <w:lang w:eastAsia="en-US"/>
        </w:rPr>
        <w:t>clerk@mortonparishcouncil.org.uk</w:t>
      </w:r>
    </w:p>
    <w:p w14:paraId="55A29DE4" w14:textId="77777777" w:rsidR="00143ADA" w:rsidRDefault="00143ADA" w:rsidP="00307AB7">
      <w:pPr>
        <w:rPr>
          <w:sz w:val="24"/>
          <w:szCs w:val="24"/>
        </w:rPr>
      </w:pPr>
    </w:p>
    <w:p w14:paraId="5A901948" w14:textId="77777777" w:rsidR="00143ADA" w:rsidRDefault="00143ADA" w:rsidP="00307AB7">
      <w:pPr>
        <w:rPr>
          <w:sz w:val="24"/>
          <w:szCs w:val="24"/>
        </w:rPr>
      </w:pPr>
    </w:p>
    <w:tbl>
      <w:tblPr>
        <w:tblW w:w="10191" w:type="dxa"/>
        <w:tblInd w:w="93" w:type="dxa"/>
        <w:tblLook w:val="04A0" w:firstRow="1" w:lastRow="0" w:firstColumn="1" w:lastColumn="0" w:noHBand="0" w:noVBand="1"/>
      </w:tblPr>
      <w:tblGrid>
        <w:gridCol w:w="262"/>
        <w:gridCol w:w="940"/>
        <w:gridCol w:w="2416"/>
        <w:gridCol w:w="2734"/>
        <w:gridCol w:w="623"/>
        <w:gridCol w:w="3216"/>
      </w:tblGrid>
      <w:tr w:rsidR="00870518" w:rsidRPr="00DB2C33" w14:paraId="4383984C" w14:textId="77777777" w:rsidTr="00870518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B6BF" w14:textId="77777777" w:rsidR="00DB2C33" w:rsidRPr="00DB2C33" w:rsidRDefault="00DB2C33" w:rsidP="00DB2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A431" w14:textId="77777777" w:rsidR="00DB2C33" w:rsidRPr="00DB2C33" w:rsidRDefault="00DB2C33" w:rsidP="00DB2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A75E" w14:textId="77777777" w:rsidR="00DB2C33" w:rsidRPr="00DB2C33" w:rsidRDefault="00DB2C33" w:rsidP="00DB2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AA80" w14:textId="77777777" w:rsidR="00DB2C33" w:rsidRPr="00DB2C33" w:rsidRDefault="00DB2C33" w:rsidP="00DB2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B2F7" w14:textId="77777777" w:rsidR="00DB2C33" w:rsidRPr="00DB2C33" w:rsidRDefault="00DB2C33" w:rsidP="00DB2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C65A0" w14:textId="77777777" w:rsidR="00DB2C33" w:rsidRPr="00DB2C33" w:rsidRDefault="00DB2C33" w:rsidP="00DB2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A76681D" w14:textId="77777777" w:rsidR="00870518" w:rsidRPr="008109F9" w:rsidRDefault="00870518" w:rsidP="00307A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70518" w:rsidRPr="008109F9" w:rsidSect="00535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9484A"/>
    <w:multiLevelType w:val="hybridMultilevel"/>
    <w:tmpl w:val="F588E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614"/>
    <w:multiLevelType w:val="hybridMultilevel"/>
    <w:tmpl w:val="4E740B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E35497C"/>
    <w:multiLevelType w:val="hybridMultilevel"/>
    <w:tmpl w:val="274610E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5033600"/>
    <w:multiLevelType w:val="hybridMultilevel"/>
    <w:tmpl w:val="D4B82F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0D"/>
    <w:rsid w:val="00020A16"/>
    <w:rsid w:val="00061651"/>
    <w:rsid w:val="000B42BD"/>
    <w:rsid w:val="000F36B8"/>
    <w:rsid w:val="00130EBB"/>
    <w:rsid w:val="00143ADA"/>
    <w:rsid w:val="0016128C"/>
    <w:rsid w:val="00194B75"/>
    <w:rsid w:val="001E3EF7"/>
    <w:rsid w:val="00212BEB"/>
    <w:rsid w:val="0030447F"/>
    <w:rsid w:val="00307AB7"/>
    <w:rsid w:val="003E24AC"/>
    <w:rsid w:val="003F6A19"/>
    <w:rsid w:val="00447FF1"/>
    <w:rsid w:val="004530AD"/>
    <w:rsid w:val="00470184"/>
    <w:rsid w:val="004C529A"/>
    <w:rsid w:val="005353C4"/>
    <w:rsid w:val="006613D1"/>
    <w:rsid w:val="00671524"/>
    <w:rsid w:val="00674200"/>
    <w:rsid w:val="008109F9"/>
    <w:rsid w:val="00870518"/>
    <w:rsid w:val="00904DF1"/>
    <w:rsid w:val="00905999"/>
    <w:rsid w:val="009908C3"/>
    <w:rsid w:val="009F51DD"/>
    <w:rsid w:val="00A27EF6"/>
    <w:rsid w:val="00A9640D"/>
    <w:rsid w:val="00C576CC"/>
    <w:rsid w:val="00C658DA"/>
    <w:rsid w:val="00DB2C33"/>
    <w:rsid w:val="00E7773E"/>
    <w:rsid w:val="00E84F23"/>
    <w:rsid w:val="00F41D86"/>
    <w:rsid w:val="00F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B6E8"/>
  <w15:docId w15:val="{E48BBA2D-5C74-49D8-8C26-28FE7CD9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8C3"/>
    <w:pPr>
      <w:ind w:left="720"/>
      <w:contextualSpacing/>
    </w:pPr>
  </w:style>
  <w:style w:type="paragraph" w:customStyle="1" w:styleId="Default">
    <w:name w:val="Default"/>
    <w:rsid w:val="00905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0EB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Amanda Pike</cp:lastModifiedBy>
  <cp:revision>2</cp:revision>
  <dcterms:created xsi:type="dcterms:W3CDTF">2018-10-02T17:43:00Z</dcterms:created>
  <dcterms:modified xsi:type="dcterms:W3CDTF">2018-10-02T17:43:00Z</dcterms:modified>
</cp:coreProperties>
</file>